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4D64" w14:textId="77777777" w:rsidR="000B614E" w:rsidRPr="005C0C6F" w:rsidRDefault="000B614E" w:rsidP="000B614E">
      <w:pPr>
        <w:shd w:val="clear" w:color="auto" w:fill="FFFFFF"/>
        <w:ind w:left="1" w:hanging="3"/>
        <w:jc w:val="center"/>
        <w:rPr>
          <w:rFonts w:ascii="Times New Roman" w:hAnsi="Times New Roman" w:cs="Times New Roman"/>
          <w:sz w:val="32"/>
          <w:szCs w:val="32"/>
        </w:rPr>
      </w:pPr>
      <w:bookmarkStart w:id="0" w:name="_Hlk196377796"/>
      <w:bookmarkStart w:id="1" w:name="_Hlk196326565"/>
      <w:r w:rsidRPr="005C0C6F">
        <w:rPr>
          <w:rFonts w:ascii="Times New Roman" w:hAnsi="Times New Roman" w:cs="Times New Roman"/>
          <w:b/>
          <w:sz w:val="32"/>
          <w:szCs w:val="32"/>
        </w:rPr>
        <w:t xml:space="preserve">EDITAL DE CHAMAMENTO PÚBLICO </w:t>
      </w:r>
      <w:r>
        <w:rPr>
          <w:rFonts w:ascii="Times New Roman" w:hAnsi="Times New Roman" w:cs="Times New Roman"/>
          <w:b/>
          <w:sz w:val="32"/>
          <w:szCs w:val="32"/>
        </w:rPr>
        <w:t xml:space="preserve">Nº </w:t>
      </w:r>
      <w:r w:rsidRPr="005C0C6F">
        <w:rPr>
          <w:rFonts w:ascii="Times New Roman" w:hAnsi="Times New Roman" w:cs="Times New Roman"/>
          <w:b/>
          <w:sz w:val="32"/>
          <w:szCs w:val="32"/>
        </w:rPr>
        <w:t>003/2026</w:t>
      </w:r>
      <w:r w:rsidRPr="005C0C6F">
        <w:rPr>
          <w:rFonts w:ascii="Times New Roman" w:hAnsi="Times New Roman" w:cs="Times New Roman"/>
          <w:b/>
          <w:sz w:val="32"/>
          <w:szCs w:val="32"/>
          <w:u w:val="single"/>
        </w:rPr>
        <w:t xml:space="preserve"> </w:t>
      </w:r>
    </w:p>
    <w:p w14:paraId="326ED816" w14:textId="77777777" w:rsidR="000B614E" w:rsidRPr="005C0C6F" w:rsidRDefault="000B614E" w:rsidP="000B614E">
      <w:pPr>
        <w:shd w:val="clear" w:color="auto" w:fill="FFFFFF"/>
        <w:ind w:left="1" w:hanging="3"/>
        <w:jc w:val="center"/>
        <w:rPr>
          <w:rFonts w:ascii="Times New Roman" w:hAnsi="Times New Roman" w:cs="Times New Roman"/>
          <w:sz w:val="32"/>
          <w:szCs w:val="32"/>
        </w:rPr>
      </w:pPr>
      <w:r w:rsidRPr="005C0C6F">
        <w:rPr>
          <w:rFonts w:ascii="Times New Roman" w:hAnsi="Times New Roman" w:cs="Times New Roman"/>
          <w:sz w:val="32"/>
          <w:szCs w:val="32"/>
        </w:rPr>
        <w:t xml:space="preserve">REDE MUNICIPAL DE PONTOS DE CULTURA DE JACOBINA - BA </w:t>
      </w:r>
      <w:bookmarkEnd w:id="0"/>
    </w:p>
    <w:bookmarkEnd w:id="1"/>
    <w:p w14:paraId="6DAAB673" w14:textId="77777777" w:rsidR="00895315" w:rsidRPr="00A9298B" w:rsidRDefault="00895315" w:rsidP="00895315">
      <w:pPr>
        <w:shd w:val="clear" w:color="auto" w:fill="FFFFFF"/>
        <w:ind w:left="0" w:hanging="2"/>
        <w:jc w:val="center"/>
        <w:rPr>
          <w:rFonts w:ascii="Times New Roman" w:hAnsi="Times New Roman" w:cs="Times New Roman"/>
          <w:b/>
          <w:sz w:val="24"/>
          <w:szCs w:val="24"/>
        </w:rPr>
      </w:pPr>
    </w:p>
    <w:p w14:paraId="49264141" w14:textId="77777777" w:rsidR="00895315" w:rsidRPr="00A9298B" w:rsidRDefault="00895315" w:rsidP="00895315">
      <w:pPr>
        <w:shd w:val="clear" w:color="auto" w:fill="FFFFFF"/>
        <w:ind w:left="1" w:hanging="3"/>
        <w:jc w:val="center"/>
        <w:rPr>
          <w:rFonts w:ascii="Times New Roman" w:hAnsi="Times New Roman" w:cs="Times New Roman"/>
          <w:b/>
          <w:sz w:val="28"/>
          <w:szCs w:val="28"/>
        </w:rPr>
      </w:pPr>
      <w:r w:rsidRPr="00A9298B">
        <w:rPr>
          <w:rFonts w:ascii="Times New Roman" w:hAnsi="Times New Roman" w:cs="Times New Roman"/>
          <w:b/>
          <w:sz w:val="28"/>
          <w:szCs w:val="28"/>
        </w:rPr>
        <w:t>CULTURA VIVA DO TAMANHO DO BRASIL!</w:t>
      </w:r>
    </w:p>
    <w:p w14:paraId="553C3FBC" w14:textId="5BA22E9B" w:rsidR="00DC74FB" w:rsidRPr="00A9298B" w:rsidRDefault="00895315" w:rsidP="00895315">
      <w:pPr>
        <w:shd w:val="clear" w:color="auto" w:fill="FFFFFF"/>
        <w:spacing w:after="0" w:line="240" w:lineRule="auto"/>
        <w:ind w:left="1" w:hanging="3"/>
        <w:jc w:val="center"/>
        <w:rPr>
          <w:rFonts w:ascii="Times New Roman" w:hAnsi="Times New Roman" w:cs="Times New Roman"/>
          <w:b/>
          <w:sz w:val="28"/>
          <w:szCs w:val="28"/>
        </w:rPr>
      </w:pPr>
      <w:r w:rsidRPr="00A9298B">
        <w:rPr>
          <w:rFonts w:ascii="Times New Roman" w:hAnsi="Times New Roman" w:cs="Times New Roman"/>
          <w:b/>
          <w:sz w:val="28"/>
          <w:szCs w:val="28"/>
        </w:rPr>
        <w:t xml:space="preserve"> FOMENTO A PROJETOS CONTINUADOS DE PONTOS DE CULTURA</w:t>
      </w:r>
    </w:p>
    <w:p w14:paraId="565D0E7D" w14:textId="77777777" w:rsidR="00895315" w:rsidRPr="00A9298B" w:rsidRDefault="00895315" w:rsidP="00895315">
      <w:pPr>
        <w:shd w:val="clear" w:color="auto" w:fill="FFFFFF"/>
        <w:spacing w:after="0" w:line="240" w:lineRule="auto"/>
        <w:ind w:left="1" w:hanging="3"/>
        <w:jc w:val="center"/>
        <w:rPr>
          <w:rFonts w:ascii="Times New Roman" w:hAnsi="Times New Roman" w:cs="Times New Roman"/>
          <w:b/>
          <w:sz w:val="28"/>
          <w:szCs w:val="28"/>
        </w:rPr>
      </w:pPr>
    </w:p>
    <w:p w14:paraId="1C862BBB" w14:textId="77777777" w:rsidR="00895315" w:rsidRPr="00A9298B" w:rsidRDefault="00895315" w:rsidP="00895315">
      <w:pPr>
        <w:shd w:val="clear" w:color="auto" w:fill="FFFFFF"/>
        <w:spacing w:after="0" w:line="240" w:lineRule="auto"/>
        <w:ind w:left="0" w:hanging="2"/>
        <w:jc w:val="center"/>
        <w:rPr>
          <w:rFonts w:ascii="Times New Roman" w:hAnsi="Times New Roman" w:cs="Times New Roman"/>
          <w:sz w:val="24"/>
          <w:szCs w:val="24"/>
        </w:rPr>
      </w:pPr>
    </w:p>
    <w:p w14:paraId="0365E5C5" w14:textId="2C260E12" w:rsidR="00DC74FB" w:rsidRPr="00A9298B" w:rsidRDefault="00000000">
      <w:pPr>
        <w:tabs>
          <w:tab w:val="center" w:pos="0"/>
        </w:tabs>
        <w:spacing w:before="120" w:after="120" w:line="240" w:lineRule="auto"/>
        <w:ind w:left="0" w:hanging="2"/>
        <w:jc w:val="center"/>
        <w:rPr>
          <w:rFonts w:ascii="Times New Roman" w:hAnsi="Times New Roman" w:cs="Times New Roman"/>
          <w:b/>
          <w:sz w:val="24"/>
          <w:szCs w:val="24"/>
        </w:rPr>
      </w:pPr>
      <w:r w:rsidRPr="00A9298B">
        <w:rPr>
          <w:rFonts w:ascii="Times New Roman" w:hAnsi="Times New Roman" w:cs="Times New Roman"/>
          <w:b/>
          <w:sz w:val="24"/>
          <w:szCs w:val="24"/>
          <w:u w:val="single"/>
        </w:rPr>
        <w:t xml:space="preserve">ANEXO 10 - TERMO DE COMPROMISSO CULTURAL - PONTO DE CULTURA </w:t>
      </w:r>
    </w:p>
    <w:p w14:paraId="772C5B34" w14:textId="77777777" w:rsidR="00DC74FB" w:rsidRPr="00A9298B" w:rsidRDefault="00000000">
      <w:pPr>
        <w:keepNext/>
        <w:spacing w:after="0" w:line="240" w:lineRule="auto"/>
        <w:ind w:left="0" w:hanging="2"/>
        <w:jc w:val="center"/>
        <w:rPr>
          <w:rFonts w:ascii="Times New Roman" w:hAnsi="Times New Roman" w:cs="Times New Roman"/>
          <w:sz w:val="20"/>
          <w:szCs w:val="20"/>
        </w:rPr>
      </w:pPr>
      <w:r w:rsidRPr="00A9298B">
        <w:rPr>
          <w:rFonts w:ascii="Times New Roman" w:hAnsi="Times New Roman" w:cs="Times New Roman"/>
          <w:i/>
          <w:sz w:val="20"/>
          <w:szCs w:val="20"/>
        </w:rPr>
        <w:t>(Rubricar todas as páginas)</w:t>
      </w:r>
    </w:p>
    <w:p w14:paraId="7BB3D345"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p w14:paraId="3CBD0829" w14:textId="47B7C4FE"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 xml:space="preserve">TERMO DE COMPROMISSO CULTURAL Nº </w:t>
      </w:r>
      <w:r w:rsidR="001E2BCE" w:rsidRPr="00A9298B">
        <w:rPr>
          <w:rFonts w:ascii="Times New Roman" w:hAnsi="Times New Roman" w:cs="Times New Roman"/>
          <w:b/>
          <w:sz w:val="24"/>
          <w:szCs w:val="24"/>
        </w:rPr>
        <w:t>002</w:t>
      </w:r>
      <w:r w:rsidRPr="00A9298B">
        <w:rPr>
          <w:rFonts w:ascii="Times New Roman" w:hAnsi="Times New Roman" w:cs="Times New Roman"/>
          <w:b/>
          <w:sz w:val="24"/>
          <w:szCs w:val="24"/>
        </w:rPr>
        <w:t>/2023</w:t>
      </w:r>
    </w:p>
    <w:tbl>
      <w:tblPr>
        <w:tblStyle w:val="afe"/>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78BD9B7C" w14:textId="77777777">
        <w:trPr>
          <w:trHeight w:val="525"/>
        </w:trPr>
        <w:tc>
          <w:tcPr>
            <w:tcW w:w="997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AEEDDBE"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w:t>
            </w:r>
            <w:r w:rsidRPr="00A9298B">
              <w:rPr>
                <w:rFonts w:ascii="Times New Roman" w:hAnsi="Times New Roman" w:cs="Times New Roman"/>
                <w:sz w:val="24"/>
                <w:szCs w:val="24"/>
              </w:rPr>
              <w:t xml:space="preserve">        </w:t>
            </w:r>
            <w:r w:rsidRPr="00A9298B">
              <w:rPr>
                <w:rFonts w:ascii="Times New Roman" w:hAnsi="Times New Roman" w:cs="Times New Roman"/>
                <w:b/>
                <w:sz w:val="24"/>
                <w:szCs w:val="24"/>
              </w:rPr>
              <w:t>FINALIDADE</w:t>
            </w:r>
          </w:p>
        </w:tc>
      </w:tr>
      <w:tr w:rsidR="00895315" w:rsidRPr="00A9298B" w14:paraId="12490505" w14:textId="77777777">
        <w:trPr>
          <w:trHeight w:val="1635"/>
        </w:trPr>
        <w:tc>
          <w:tcPr>
            <w:tcW w:w="9972" w:type="dxa"/>
            <w:tcBorders>
              <w:top w:val="nil"/>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1D02DF9B" w14:textId="004FAD7C" w:rsidR="00DC74FB" w:rsidRPr="00A9298B" w:rsidRDefault="001015B4">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O</w:t>
            </w:r>
            <w:r w:rsidRPr="00A9298B">
              <w:rPr>
                <w:rFonts w:ascii="Times New Roman" w:hAnsi="Times New Roman" w:cs="Times New Roman"/>
                <w:color w:val="FF0000"/>
                <w:sz w:val="24"/>
                <w:szCs w:val="24"/>
              </w:rPr>
              <w:t xml:space="preserve"> </w:t>
            </w:r>
            <w:proofErr w:type="spellStart"/>
            <w:r w:rsidRPr="00A9298B">
              <w:rPr>
                <w:rFonts w:ascii="Times New Roman" w:hAnsi="Times New Roman" w:cs="Times New Roman"/>
                <w:sz w:val="24"/>
                <w:szCs w:val="24"/>
              </w:rPr>
              <w:t>MUNICIPIO</w:t>
            </w:r>
            <w:proofErr w:type="spellEnd"/>
            <w:r w:rsidRPr="00A9298B">
              <w:rPr>
                <w:rFonts w:ascii="Times New Roman" w:hAnsi="Times New Roman" w:cs="Times New Roman"/>
                <w:sz w:val="24"/>
                <w:szCs w:val="24"/>
              </w:rPr>
              <w:t xml:space="preserve"> DE JACOBINA neste ato representado pela PREFEITA DE JACOBINA-BA, Senhora </w:t>
            </w:r>
            <w:proofErr w:type="spellStart"/>
            <w:r w:rsidRPr="00A9298B">
              <w:rPr>
                <w:rFonts w:ascii="Times New Roman" w:hAnsi="Times New Roman" w:cs="Times New Roman"/>
                <w:sz w:val="24"/>
                <w:szCs w:val="24"/>
              </w:rPr>
              <w:t>VALCICE</w:t>
            </w:r>
            <w:proofErr w:type="spellEnd"/>
            <w:r w:rsidRPr="00A9298B">
              <w:rPr>
                <w:rFonts w:ascii="Times New Roman" w:hAnsi="Times New Roman" w:cs="Times New Roman"/>
                <w:sz w:val="24"/>
                <w:szCs w:val="24"/>
              </w:rPr>
              <w:t xml:space="preserve"> CASTRO VIEIRA DA SILVA, celebram o presente TERMO DE COMPROMISSO CULTURAL - TCC, com a finalidade de executar Projeto Cultural, nos termos do Plano de Trabalho anexo, para implementação da Política Nacional de Cultura Viva –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mediante as condições estipuladas em suas Cláusulas, nos termos da Lei nº 14.399, de 08 de julho de 2022 (</w:t>
            </w:r>
            <w:proofErr w:type="spellStart"/>
            <w:r w:rsidRPr="00A9298B">
              <w:rPr>
                <w:rFonts w:ascii="Times New Roman" w:hAnsi="Times New Roman" w:cs="Times New Roman"/>
                <w:sz w:val="24"/>
                <w:szCs w:val="24"/>
              </w:rPr>
              <w:t>PNAB</w:t>
            </w:r>
            <w:proofErr w:type="spellEnd"/>
            <w:r w:rsidRPr="00A9298B">
              <w:rPr>
                <w:rFonts w:ascii="Times New Roman" w:hAnsi="Times New Roman" w:cs="Times New Roman"/>
                <w:sz w:val="24"/>
                <w:szCs w:val="24"/>
              </w:rPr>
              <w:t xml:space="preserve">), do Decreto nº 11.740, de 18 de outubro de 2023, e Portaria MinC nº 80, de 27 de outubro de 2023 (Regulamentam a </w:t>
            </w:r>
            <w:proofErr w:type="spellStart"/>
            <w:r w:rsidRPr="00A9298B">
              <w:rPr>
                <w:rFonts w:ascii="Times New Roman" w:hAnsi="Times New Roman" w:cs="Times New Roman"/>
                <w:sz w:val="24"/>
                <w:szCs w:val="24"/>
              </w:rPr>
              <w:t>PNAB</w:t>
            </w:r>
            <w:proofErr w:type="spellEnd"/>
            <w:r w:rsidRPr="00A9298B">
              <w:rPr>
                <w:rFonts w:ascii="Times New Roman" w:hAnsi="Times New Roman" w:cs="Times New Roman"/>
                <w:sz w:val="24"/>
                <w:szCs w:val="24"/>
              </w:rPr>
              <w:t>), do Decreto nº 11.453, de 23 de março de 2023 (Decreto de Fomento), da Lei nº 13.018, de 22 de julho de 2014 (Lei Cultura Viva), da Instrução Normativa /MinC nº 08, de 11 de maio de 2016 (IN Cultura Viva).</w:t>
            </w:r>
          </w:p>
        </w:tc>
      </w:tr>
    </w:tbl>
    <w:p w14:paraId="16523DC7"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tbl>
      <w:tblPr>
        <w:tblStyle w:val="aff"/>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130"/>
        <w:gridCol w:w="1849"/>
        <w:gridCol w:w="1507"/>
        <w:gridCol w:w="3486"/>
      </w:tblGrid>
      <w:tr w:rsidR="00895315" w:rsidRPr="00A9298B" w14:paraId="09DE8E47" w14:textId="77777777">
        <w:trPr>
          <w:trHeight w:val="525"/>
        </w:trPr>
        <w:tc>
          <w:tcPr>
            <w:tcW w:w="997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tcPr>
          <w:p w14:paraId="6C18AE2B"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2.</w:t>
            </w:r>
            <w:r w:rsidRPr="00A9298B">
              <w:rPr>
                <w:rFonts w:ascii="Times New Roman" w:hAnsi="Times New Roman" w:cs="Times New Roman"/>
                <w:sz w:val="24"/>
                <w:szCs w:val="24"/>
              </w:rPr>
              <w:t xml:space="preserve">        </w:t>
            </w:r>
            <w:r w:rsidRPr="00A9298B">
              <w:rPr>
                <w:rFonts w:ascii="Times New Roman" w:hAnsi="Times New Roman" w:cs="Times New Roman"/>
                <w:b/>
                <w:sz w:val="24"/>
                <w:szCs w:val="24"/>
              </w:rPr>
              <w:t>IDENTIFICAÇÃO DAS PARTES</w:t>
            </w:r>
          </w:p>
        </w:tc>
      </w:tr>
      <w:tr w:rsidR="00895315" w:rsidRPr="00A9298B" w14:paraId="6934CB91" w14:textId="77777777">
        <w:trPr>
          <w:trHeight w:val="525"/>
        </w:trPr>
        <w:tc>
          <w:tcPr>
            <w:tcW w:w="9972" w:type="dxa"/>
            <w:gridSpan w:val="4"/>
            <w:tcBorders>
              <w:top w:val="single" w:sz="4"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A04E793"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2.1. ENTE PÚBLICO</w:t>
            </w:r>
          </w:p>
        </w:tc>
      </w:tr>
      <w:tr w:rsidR="00895315" w:rsidRPr="00A9298B" w14:paraId="7DB46CFE"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2972595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Razão Social</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22DAF68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p w14:paraId="4530D6FC"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tc>
      </w:tr>
      <w:tr w:rsidR="00895315" w:rsidRPr="00A9298B" w14:paraId="2FC1DC0E"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DC6384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CNPJ</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086898F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5DCCA094"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B23DD21"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Endereço completo</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69E6FED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5DC71CA9"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E39395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Nome do responsável legal</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445A785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4E616454"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AA359A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Cargo</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27B463B2" w14:textId="3E777AFA" w:rsidR="00DC74FB" w:rsidRPr="00A9298B" w:rsidRDefault="00000000" w:rsidP="00713321">
            <w:pPr>
              <w:tabs>
                <w:tab w:val="right" w:pos="6642"/>
              </w:tabs>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r w:rsidR="00713321">
              <w:rPr>
                <w:rFonts w:ascii="Times New Roman" w:hAnsi="Times New Roman" w:cs="Times New Roman"/>
                <w:sz w:val="24"/>
                <w:szCs w:val="24"/>
              </w:rPr>
              <w:tab/>
            </w:r>
          </w:p>
        </w:tc>
      </w:tr>
      <w:tr w:rsidR="00895315" w:rsidRPr="00A9298B" w14:paraId="0E3E10DF"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952BAF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Registro Geral (RG)</w:t>
            </w:r>
          </w:p>
        </w:tc>
        <w:tc>
          <w:tcPr>
            <w:tcW w:w="1849"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45DC58E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c>
          <w:tcPr>
            <w:tcW w:w="1507" w:type="dxa"/>
            <w:tcBorders>
              <w:top w:val="nil"/>
              <w:left w:val="nil"/>
              <w:bottom w:val="single" w:sz="6" w:space="0" w:color="000000"/>
              <w:right w:val="single" w:sz="6" w:space="0" w:color="000000"/>
            </w:tcBorders>
            <w:shd w:val="clear" w:color="auto" w:fill="D9D9D9"/>
            <w:tcMar>
              <w:top w:w="0" w:type="dxa"/>
              <w:left w:w="100" w:type="dxa"/>
              <w:bottom w:w="0" w:type="dxa"/>
              <w:right w:w="100" w:type="dxa"/>
            </w:tcMar>
          </w:tcPr>
          <w:p w14:paraId="314B32F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CPF</w:t>
            </w:r>
          </w:p>
        </w:tc>
        <w:tc>
          <w:tcPr>
            <w:tcW w:w="3486"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2CF0000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422AEE7C" w14:textId="77777777">
        <w:trPr>
          <w:trHeight w:val="525"/>
        </w:trPr>
        <w:tc>
          <w:tcPr>
            <w:tcW w:w="3130" w:type="dxa"/>
            <w:tcBorders>
              <w:top w:val="nil"/>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E19E5F1"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Ato de nomeação</w:t>
            </w:r>
          </w:p>
        </w:tc>
        <w:tc>
          <w:tcPr>
            <w:tcW w:w="6842" w:type="dxa"/>
            <w:gridSpan w:val="3"/>
            <w:tcBorders>
              <w:top w:val="nil"/>
              <w:left w:val="nil"/>
              <w:bottom w:val="single" w:sz="4" w:space="0" w:color="000000"/>
              <w:right w:val="single" w:sz="6" w:space="0" w:color="000000"/>
            </w:tcBorders>
            <w:shd w:val="clear" w:color="auto" w:fill="FFFFFF"/>
            <w:tcMar>
              <w:top w:w="0" w:type="dxa"/>
              <w:left w:w="100" w:type="dxa"/>
              <w:bottom w:w="0" w:type="dxa"/>
              <w:right w:w="100" w:type="dxa"/>
            </w:tcMar>
          </w:tcPr>
          <w:p w14:paraId="429751D3"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54F465AF" w14:textId="77777777">
        <w:trPr>
          <w:trHeight w:val="525"/>
        </w:trPr>
        <w:tc>
          <w:tcPr>
            <w:tcW w:w="997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0" w:type="dxa"/>
              <w:bottom w:w="0" w:type="dxa"/>
              <w:right w:w="100" w:type="dxa"/>
            </w:tcMar>
          </w:tcPr>
          <w:p w14:paraId="040BD4EE"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2.2. ENTIDADE CULTURAL</w:t>
            </w:r>
          </w:p>
        </w:tc>
      </w:tr>
      <w:tr w:rsidR="00895315" w:rsidRPr="00A9298B" w14:paraId="50A9E416" w14:textId="77777777">
        <w:trPr>
          <w:trHeight w:val="540"/>
        </w:trPr>
        <w:tc>
          <w:tcPr>
            <w:tcW w:w="3130" w:type="dxa"/>
            <w:tcBorders>
              <w:top w:val="single" w:sz="4"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3EEDBF6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Razão Social</w:t>
            </w:r>
          </w:p>
        </w:tc>
        <w:tc>
          <w:tcPr>
            <w:tcW w:w="6842" w:type="dxa"/>
            <w:gridSpan w:val="3"/>
            <w:tcBorders>
              <w:top w:val="single" w:sz="4" w:space="0" w:color="000000"/>
              <w:left w:val="nil"/>
              <w:bottom w:val="single" w:sz="6" w:space="0" w:color="000000"/>
              <w:right w:val="single" w:sz="6" w:space="0" w:color="000000"/>
            </w:tcBorders>
            <w:shd w:val="clear" w:color="auto" w:fill="FFFFFF"/>
            <w:tcMar>
              <w:top w:w="0" w:type="dxa"/>
              <w:left w:w="100" w:type="dxa"/>
              <w:bottom w:w="0" w:type="dxa"/>
              <w:right w:w="100" w:type="dxa"/>
            </w:tcMar>
          </w:tcPr>
          <w:p w14:paraId="41D450D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p w14:paraId="092E4F6E"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tc>
      </w:tr>
      <w:tr w:rsidR="00895315" w:rsidRPr="00A9298B" w14:paraId="4D450C3F" w14:textId="77777777">
        <w:trPr>
          <w:trHeight w:val="540"/>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209FF184"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CNPJ</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3301206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0C5DA896"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6CF3BE4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Endereço completo</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5DD696A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0337F7D4"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0192CE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Nome do responsável legal</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60DC6C6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4C9ECB06"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152B2E8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Cargo</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34A582F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54696877" w14:textId="77777777">
        <w:trPr>
          <w:trHeight w:val="52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02DF77F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Registro Geral (RG)</w:t>
            </w:r>
          </w:p>
        </w:tc>
        <w:tc>
          <w:tcPr>
            <w:tcW w:w="1849"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520A80A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c>
          <w:tcPr>
            <w:tcW w:w="1507" w:type="dxa"/>
            <w:tcBorders>
              <w:top w:val="nil"/>
              <w:left w:val="nil"/>
              <w:bottom w:val="single" w:sz="6" w:space="0" w:color="000000"/>
              <w:right w:val="single" w:sz="6" w:space="0" w:color="000000"/>
            </w:tcBorders>
            <w:shd w:val="clear" w:color="auto" w:fill="D9D9D9"/>
            <w:tcMar>
              <w:top w:w="0" w:type="dxa"/>
              <w:left w:w="100" w:type="dxa"/>
              <w:bottom w:w="0" w:type="dxa"/>
              <w:right w:w="100" w:type="dxa"/>
            </w:tcMar>
          </w:tcPr>
          <w:p w14:paraId="77F61714"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CPF</w:t>
            </w:r>
          </w:p>
        </w:tc>
        <w:tc>
          <w:tcPr>
            <w:tcW w:w="3486" w:type="dxa"/>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36E042A4"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r w:rsidR="00895315" w:rsidRPr="00A9298B" w14:paraId="44653B9B" w14:textId="77777777">
        <w:trPr>
          <w:trHeight w:val="795"/>
        </w:trPr>
        <w:tc>
          <w:tcPr>
            <w:tcW w:w="3130" w:type="dxa"/>
            <w:tcBorders>
              <w:top w:val="nil"/>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6AD983B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Endereço completo do responsável legal</w:t>
            </w:r>
          </w:p>
        </w:tc>
        <w:tc>
          <w:tcPr>
            <w:tcW w:w="6842" w:type="dxa"/>
            <w:gridSpan w:val="3"/>
            <w:tcBorders>
              <w:top w:val="nil"/>
              <w:left w:val="nil"/>
              <w:bottom w:val="single" w:sz="6" w:space="0" w:color="000000"/>
              <w:right w:val="single" w:sz="6" w:space="0" w:color="000000"/>
            </w:tcBorders>
            <w:shd w:val="clear" w:color="auto" w:fill="FFFFFF"/>
            <w:tcMar>
              <w:top w:w="0" w:type="dxa"/>
              <w:left w:w="100" w:type="dxa"/>
              <w:bottom w:w="0" w:type="dxa"/>
              <w:right w:w="100" w:type="dxa"/>
            </w:tcMar>
          </w:tcPr>
          <w:p w14:paraId="359F895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p>
        </w:tc>
      </w:tr>
    </w:tbl>
    <w:p w14:paraId="7AAC711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                                                  </w:t>
      </w:r>
      <w:r w:rsidRPr="00A9298B">
        <w:rPr>
          <w:rFonts w:ascii="Times New Roman" w:hAnsi="Times New Roman" w:cs="Times New Roman"/>
          <w:sz w:val="24"/>
          <w:szCs w:val="24"/>
        </w:rPr>
        <w:tab/>
      </w:r>
    </w:p>
    <w:tbl>
      <w:tblPr>
        <w:tblStyle w:val="aff0"/>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4B2AE422" w14:textId="77777777">
        <w:trPr>
          <w:trHeight w:val="525"/>
        </w:trPr>
        <w:tc>
          <w:tcPr>
            <w:tcW w:w="997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0" w:type="dxa"/>
              <w:bottom w:w="0" w:type="dxa"/>
              <w:right w:w="100" w:type="dxa"/>
            </w:tcMar>
          </w:tcPr>
          <w:p w14:paraId="447B59A5"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3.</w:t>
            </w:r>
            <w:r w:rsidRPr="00A9298B">
              <w:rPr>
                <w:rFonts w:ascii="Times New Roman" w:hAnsi="Times New Roman" w:cs="Times New Roman"/>
                <w:sz w:val="24"/>
                <w:szCs w:val="24"/>
              </w:rPr>
              <w:t xml:space="preserve">        </w:t>
            </w:r>
            <w:r w:rsidRPr="00A9298B">
              <w:rPr>
                <w:rFonts w:ascii="Times New Roman" w:hAnsi="Times New Roman" w:cs="Times New Roman"/>
                <w:b/>
                <w:sz w:val="24"/>
                <w:szCs w:val="24"/>
              </w:rPr>
              <w:t>OBJETO</w:t>
            </w:r>
          </w:p>
        </w:tc>
      </w:tr>
      <w:tr w:rsidR="00895315" w:rsidRPr="00A9298B" w14:paraId="688B54AF" w14:textId="77777777">
        <w:trPr>
          <w:trHeight w:val="1080"/>
        </w:trPr>
        <w:tc>
          <w:tcPr>
            <w:tcW w:w="9972" w:type="dxa"/>
            <w:tcBorders>
              <w:top w:val="nil"/>
              <w:left w:val="single" w:sz="6" w:space="0" w:color="000000"/>
              <w:bottom w:val="single" w:sz="6" w:space="0" w:color="000000"/>
              <w:right w:val="single" w:sz="6" w:space="0" w:color="000000"/>
            </w:tcBorders>
            <w:shd w:val="clear" w:color="auto" w:fill="FFFFFF"/>
            <w:tcMar>
              <w:top w:w="0" w:type="dxa"/>
              <w:left w:w="100" w:type="dxa"/>
              <w:bottom w:w="0" w:type="dxa"/>
              <w:right w:w="100" w:type="dxa"/>
            </w:tcMar>
          </w:tcPr>
          <w:p w14:paraId="477EDA59" w14:textId="41DC6E6F"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b/>
                <w:sz w:val="24"/>
                <w:szCs w:val="24"/>
              </w:rPr>
              <w:t>3.1.</w:t>
            </w:r>
            <w:r w:rsidRPr="00A9298B">
              <w:rPr>
                <w:rFonts w:ascii="Times New Roman" w:hAnsi="Times New Roman" w:cs="Times New Roman"/>
                <w:sz w:val="24"/>
                <w:szCs w:val="24"/>
              </w:rPr>
              <w:t xml:space="preserve"> O presente Termo de Compromisso Cultural-TCC tem como objeto a execução de projeto selecionado no </w:t>
            </w:r>
            <w:r w:rsidR="00895315" w:rsidRPr="00A9298B">
              <w:rPr>
                <w:rFonts w:ascii="Times New Roman" w:hAnsi="Times New Roman" w:cs="Times New Roman"/>
                <w:sz w:val="24"/>
                <w:szCs w:val="24"/>
              </w:rPr>
              <w:t>002/2025</w:t>
            </w:r>
            <w:r w:rsidRPr="00A9298B">
              <w:rPr>
                <w:rFonts w:ascii="Times New Roman" w:hAnsi="Times New Roman" w:cs="Times New Roman"/>
                <w:sz w:val="24"/>
                <w:szCs w:val="24"/>
              </w:rPr>
              <w:t xml:space="preserve">, </w:t>
            </w:r>
            <w:r w:rsidRPr="00A9298B">
              <w:rPr>
                <w:rFonts w:ascii="Times New Roman" w:hAnsi="Times New Roman" w:cs="Times New Roman"/>
                <w:sz w:val="24"/>
                <w:szCs w:val="24"/>
                <w:highlight w:val="white"/>
              </w:rPr>
              <w:t xml:space="preserve">que visa a promoção do acesso da população aos bens e aos serviços culturais nos territórios e comunidades onde atuam, nos termos da Política Nacional de Cultura Viva - </w:t>
            </w:r>
            <w:proofErr w:type="spellStart"/>
            <w:r w:rsidRPr="00A9298B">
              <w:rPr>
                <w:rFonts w:ascii="Times New Roman" w:hAnsi="Times New Roman" w:cs="Times New Roman"/>
                <w:sz w:val="24"/>
                <w:szCs w:val="24"/>
                <w:highlight w:val="white"/>
              </w:rPr>
              <w:t>PNCV</w:t>
            </w:r>
            <w:proofErr w:type="spellEnd"/>
            <w:r w:rsidRPr="00A9298B">
              <w:rPr>
                <w:rFonts w:ascii="Times New Roman" w:hAnsi="Times New Roman" w:cs="Times New Roman"/>
                <w:sz w:val="24"/>
                <w:szCs w:val="24"/>
                <w:highlight w:val="white"/>
              </w:rPr>
              <w:t>, conforme Plano de Trabalho anexo.</w:t>
            </w:r>
          </w:p>
        </w:tc>
      </w:tr>
    </w:tbl>
    <w:p w14:paraId="443C9AEF" w14:textId="77777777" w:rsidR="00DC74FB" w:rsidRPr="00A9298B" w:rsidRDefault="00000000">
      <w:pPr>
        <w:ind w:left="0" w:hanging="2"/>
        <w:rPr>
          <w:rFonts w:ascii="Times New Roman" w:hAnsi="Times New Roman" w:cs="Times New Roman"/>
        </w:rPr>
      </w:pPr>
      <w:r w:rsidRPr="00A9298B">
        <w:rPr>
          <w:rFonts w:ascii="Times New Roman" w:hAnsi="Times New Roman" w:cs="Times New Roman"/>
          <w:sz w:val="24"/>
          <w:szCs w:val="24"/>
        </w:rPr>
        <w:t xml:space="preserve">                                                  </w:t>
      </w:r>
      <w:r w:rsidRPr="00A9298B">
        <w:rPr>
          <w:rFonts w:ascii="Times New Roman" w:hAnsi="Times New Roman" w:cs="Times New Roman"/>
          <w:sz w:val="24"/>
          <w:szCs w:val="24"/>
        </w:rPr>
        <w:tab/>
        <w:t xml:space="preserve">                                                 </w:t>
      </w:r>
      <w:r w:rsidRPr="00A9298B">
        <w:rPr>
          <w:rFonts w:ascii="Times New Roman" w:hAnsi="Times New Roman" w:cs="Times New Roman"/>
          <w:sz w:val="24"/>
          <w:szCs w:val="24"/>
        </w:rPr>
        <w:tab/>
      </w:r>
    </w:p>
    <w:tbl>
      <w:tblPr>
        <w:tblStyle w:val="aff1"/>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6E3421F6"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6410A919"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4. OBRIGAÇÕES DAS PARTES</w:t>
            </w:r>
          </w:p>
        </w:tc>
      </w:tr>
      <w:tr w:rsidR="00895315" w:rsidRPr="00A9298B" w14:paraId="007F1CA9"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6107BA33" w14:textId="3BF274A2"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4.1.</w:t>
            </w:r>
            <w:r w:rsidRPr="00A9298B">
              <w:rPr>
                <w:rFonts w:ascii="Times New Roman" w:hAnsi="Times New Roman" w:cs="Times New Roman"/>
                <w:sz w:val="24"/>
                <w:szCs w:val="24"/>
              </w:rPr>
              <w:t xml:space="preserve">   </w:t>
            </w:r>
            <w:r w:rsidRPr="00A9298B">
              <w:rPr>
                <w:rFonts w:ascii="Times New Roman" w:hAnsi="Times New Roman" w:cs="Times New Roman"/>
                <w:b/>
                <w:sz w:val="24"/>
                <w:szCs w:val="24"/>
              </w:rPr>
              <w:t xml:space="preserve">Do </w:t>
            </w:r>
            <w:r w:rsidR="00895315" w:rsidRPr="00A9298B">
              <w:rPr>
                <w:rFonts w:ascii="Times New Roman" w:hAnsi="Times New Roman" w:cs="Times New Roman"/>
                <w:b/>
                <w:sz w:val="24"/>
                <w:szCs w:val="24"/>
              </w:rPr>
              <w:t xml:space="preserve">MUNICÍPIO DE </w:t>
            </w:r>
            <w:proofErr w:type="spellStart"/>
            <w:r w:rsidR="00895315" w:rsidRPr="00A9298B">
              <w:rPr>
                <w:rFonts w:ascii="Times New Roman" w:hAnsi="Times New Roman" w:cs="Times New Roman"/>
                <w:b/>
                <w:sz w:val="24"/>
                <w:szCs w:val="24"/>
              </w:rPr>
              <w:t>JACONBINA</w:t>
            </w:r>
            <w:proofErr w:type="spellEnd"/>
          </w:p>
        </w:tc>
      </w:tr>
      <w:tr w:rsidR="00895315" w:rsidRPr="00A9298B" w14:paraId="7D8BA07E" w14:textId="77777777">
        <w:trPr>
          <w:trHeight w:val="699"/>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277B229D" w14:textId="1F62D4DD"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Incumbe </w:t>
            </w:r>
            <w:r w:rsidR="001015B4" w:rsidRPr="00A9298B">
              <w:rPr>
                <w:rFonts w:ascii="Times New Roman" w:hAnsi="Times New Roman" w:cs="Times New Roman"/>
                <w:sz w:val="24"/>
                <w:szCs w:val="24"/>
              </w:rPr>
              <w:t xml:space="preserve">ao </w:t>
            </w:r>
            <w:proofErr w:type="spellStart"/>
            <w:r w:rsidR="001015B4" w:rsidRPr="00A9298B">
              <w:rPr>
                <w:rFonts w:ascii="Times New Roman" w:hAnsi="Times New Roman" w:cs="Times New Roman"/>
                <w:sz w:val="24"/>
                <w:szCs w:val="24"/>
              </w:rPr>
              <w:t>MUNICIPIO</w:t>
            </w:r>
            <w:proofErr w:type="spellEnd"/>
            <w:r w:rsidR="001015B4" w:rsidRPr="00A9298B">
              <w:rPr>
                <w:rFonts w:ascii="Times New Roman" w:hAnsi="Times New Roman" w:cs="Times New Roman"/>
                <w:sz w:val="24"/>
                <w:szCs w:val="24"/>
              </w:rPr>
              <w:t xml:space="preserve"> DE JACOBINA </w:t>
            </w:r>
            <w:proofErr w:type="spellStart"/>
            <w:r w:rsidR="001015B4" w:rsidRPr="00A9298B">
              <w:rPr>
                <w:rFonts w:ascii="Times New Roman" w:hAnsi="Times New Roman" w:cs="Times New Roman"/>
                <w:sz w:val="24"/>
                <w:szCs w:val="24"/>
              </w:rPr>
              <w:t>ATRAVES</w:t>
            </w:r>
            <w:proofErr w:type="spellEnd"/>
            <w:r w:rsidR="001015B4" w:rsidRPr="00A9298B">
              <w:rPr>
                <w:rFonts w:ascii="Times New Roman" w:hAnsi="Times New Roman" w:cs="Times New Roman"/>
                <w:sz w:val="24"/>
                <w:szCs w:val="24"/>
              </w:rPr>
              <w:t xml:space="preserve"> DA </w:t>
            </w:r>
            <w:r w:rsidR="00895315" w:rsidRPr="00A9298B">
              <w:rPr>
                <w:rFonts w:ascii="Times New Roman" w:hAnsi="Times New Roman" w:cs="Times New Roman"/>
                <w:sz w:val="24"/>
                <w:szCs w:val="24"/>
              </w:rPr>
              <w:t>DIRETORIA DE CULTURA</w:t>
            </w:r>
            <w:r w:rsidR="001015B4" w:rsidRPr="00A9298B">
              <w:rPr>
                <w:rFonts w:ascii="Times New Roman" w:hAnsi="Times New Roman" w:cs="Times New Roman"/>
                <w:sz w:val="24"/>
                <w:szCs w:val="24"/>
              </w:rPr>
              <w:t xml:space="preserve">, </w:t>
            </w:r>
            <w:r w:rsidRPr="00A9298B">
              <w:rPr>
                <w:rFonts w:ascii="Times New Roman" w:hAnsi="Times New Roman" w:cs="Times New Roman"/>
                <w:sz w:val="24"/>
                <w:szCs w:val="24"/>
              </w:rPr>
              <w:t>observar as obrigações descritas na Instrução legislação de regência, e as seguintes responsabilidades:</w:t>
            </w:r>
          </w:p>
          <w:p w14:paraId="39EBA2C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 - coordenar a gestão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no âmbito de sua esfera de atuação;</w:t>
            </w:r>
          </w:p>
          <w:p w14:paraId="1FCF6A3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II - atuar em parceria federativa junto ao governo federal, governos estaduais, do Distrito Federal e municipais, e outras instituições, para efetivação dos objetivos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previstos em lei;</w:t>
            </w:r>
          </w:p>
          <w:p w14:paraId="7329B21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III - realizar planejamento de desenvolvimento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observando o Plano Nacional de Cultura e planos de cultura locais;</w:t>
            </w:r>
          </w:p>
          <w:p w14:paraId="21A10EF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 xml:space="preserve">IV - garantir recursos humanos, orçamentários, financeiros, logísticos e tecnológicos para implementação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e efetividade de seus resultados;</w:t>
            </w:r>
          </w:p>
          <w:p w14:paraId="3AC7FD03"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V -  desenvolver uma gestão pública compartilhada e participativa, por meio da organização e institucionalização das instâncias, fóruns e espaços de diálogos institucionais entre os partícipes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em sua área de abrangência territorial;</w:t>
            </w:r>
          </w:p>
          <w:p w14:paraId="2542296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VI - desenvolver as ações estruturantes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por meio de políticas públicas integradas visando a promoção em uma cultura de direitos humanos e de valorização da cidadania e da diversidade artística e cultural;</w:t>
            </w:r>
          </w:p>
          <w:p w14:paraId="763BB2B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VII - disponibilizar e manter em funcionamento o Cadastro Nacional dos Pontos e Pontões de Cultura, no âmbito de sua esfera de atuação;</w:t>
            </w:r>
          </w:p>
          <w:p w14:paraId="6B4486F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VIII - fomentar ações para qualificação e formação de gestores, dirigentes de entidades culturais e outros agentes envolvidos no âmbito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w:t>
            </w:r>
          </w:p>
          <w:p w14:paraId="3EFBE78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IX - dar ciência da celebração de parcerias federativas, no que couber, aos conselhos de cultura, assembleias legislativas e câmaras municipais de vereadores para efeitos de acompanhamento e fiscalização;</w:t>
            </w:r>
          </w:p>
          <w:p w14:paraId="60EE593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X - promover ações de publicidade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que proporcionem controle social, transparência pública e visibilidade das ações junto à sociedade;</w:t>
            </w:r>
          </w:p>
          <w:p w14:paraId="32E0B89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XI - contribuir para o fortalecimento da atuação em redes territoriais, identitárias e temáticas no âmbito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w:t>
            </w:r>
          </w:p>
          <w:p w14:paraId="72175CF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XII - realizar os atos e os procedimentos relativos à formalização, execução, acompanhamento e análise da prestação de contas do presente TCC;</w:t>
            </w:r>
          </w:p>
          <w:p w14:paraId="05573CB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XIII - realizar os procedimentos relativos à Tomada de Contas Especial, quando for o caso;</w:t>
            </w:r>
          </w:p>
          <w:p w14:paraId="7EC0F40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XIV - cumprir com os procedimentos de transparência e publicidade atribuídos ao poder público conforme o disposto na Seção III da IN MinC nº 08 de 11 de maio de 2016;</w:t>
            </w:r>
          </w:p>
          <w:p w14:paraId="4B5F59B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XV - repassar os recursos financeiros ao PONTO DE CULTURA, de acordo com a programação orçamentária e financeira do ente público, obedecendo ao cronograma financeiro constante deste instrumento e do plano de trabalho;</w:t>
            </w:r>
          </w:p>
          <w:p w14:paraId="24015D9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XVI - prorrogar “de ofício” o prazo de vigência do TCC antes do seu término, quando der causa ao atraso na liberação dos recursos, limitada à prorrogação ao exato período do atraso verificado;</w:t>
            </w:r>
          </w:p>
          <w:p w14:paraId="636FD50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XVII - aplicar as penalidades previstas e proceder às ações administrativas necessárias à exigência da restituição dos recursos transferidos;</w:t>
            </w:r>
          </w:p>
          <w:p w14:paraId="544C345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XVIII - comunicar aos Pontos e Pontões de Cultura a identificação de quaisquer irregularidades decorrentes do uso dos recursos ou pendências de ordem técnica, podendo suspender a liberação de recursos e fixar prazo de trinta dias para saneamento ou apresentação de justificativa com informações e esclarecimentos, prorrogável uma única vez por igual período.</w:t>
            </w:r>
          </w:p>
          <w:p w14:paraId="0A812D2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XIX - analisar a prestação de contas dos recursos aplicados na consecução do objeto deste TCC, na forma e prazo fixados no Decreto nº 11.453/2023 e no art. 47 da IN MinC nº 08/2016;</w:t>
            </w:r>
          </w:p>
          <w:p w14:paraId="18ACE29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XX - nos casos em que o PONTO DE CULTURA não apresentar o Relatório de Execução do Objeto ou o Relatório de Execução Financeira nos prazos devidos, enviar notificação exigindo que o faça no </w:t>
            </w:r>
            <w:r w:rsidRPr="00A9298B">
              <w:rPr>
                <w:rFonts w:ascii="Times New Roman" w:hAnsi="Times New Roman" w:cs="Times New Roman"/>
                <w:sz w:val="24"/>
                <w:szCs w:val="24"/>
              </w:rPr>
              <w:lastRenderedPageBreak/>
              <w:t>prazo máximo de trinta dias, sob pena de rejeição das contas e exigência de devolução integral dos recursos, com atualização monetária e juros;</w:t>
            </w:r>
          </w:p>
          <w:p w14:paraId="3B7D9D03"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XXI - exercer, se conveniente e oportuno, a prerrogativa de assumir ou de transferir a responsabilidade pela execução do objeto, no caso de paralisação ou da ocorrência de fato relevante, de modo a evitar sua descontinuidade.</w:t>
            </w:r>
          </w:p>
          <w:p w14:paraId="5CFD53FB"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tc>
      </w:tr>
      <w:tr w:rsidR="00895315" w:rsidRPr="00A9298B" w14:paraId="37ABB40D"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098F995" w14:textId="77777777" w:rsidR="00DC74FB" w:rsidRPr="00A9298B" w:rsidRDefault="00000000">
            <w:pP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lastRenderedPageBreak/>
              <w:t>4.2.</w:t>
            </w:r>
            <w:r w:rsidRPr="00A9298B">
              <w:rPr>
                <w:rFonts w:ascii="Times New Roman" w:hAnsi="Times New Roman" w:cs="Times New Roman"/>
                <w:sz w:val="24"/>
                <w:szCs w:val="24"/>
              </w:rPr>
              <w:t xml:space="preserve">   </w:t>
            </w:r>
            <w:r w:rsidRPr="00A9298B">
              <w:rPr>
                <w:rFonts w:ascii="Times New Roman" w:hAnsi="Times New Roman" w:cs="Times New Roman"/>
                <w:b/>
                <w:sz w:val="24"/>
                <w:szCs w:val="24"/>
              </w:rPr>
              <w:t>Da Entidade Cultural</w:t>
            </w:r>
          </w:p>
        </w:tc>
      </w:tr>
      <w:tr w:rsidR="00895315" w:rsidRPr="00A9298B" w14:paraId="751E5634"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127385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Incumbe à Entidade Cultural observar as obrigações descritas na legislação de regência e, ainda, as seguintes responsabilidades:</w:t>
            </w:r>
          </w:p>
          <w:p w14:paraId="68A9C88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executar o projeto conforme Plano de Trabalho aprovado e produzir provas documentais sobre o andamento da execução do projeto, inclusive das alterações no Plano de Trabalho;</w:t>
            </w:r>
          </w:p>
          <w:p w14:paraId="547F029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cumprir com os procedimentos de transparência e publicidade atribuídos à entidade cultural conforme o disposto no Capítulo IV,  Seção III da IN MinC nº 08 de 11 de maio de 2016;</w:t>
            </w:r>
          </w:p>
          <w:p w14:paraId="27924381"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III - divulgar, em destaque, o nome do Ministério da Cultura/Governo Federal e do ENTE PÚBLICO parceiro em todos os atos de promoção e divulgação do projeto, obedecendo aos critérios de veiculação das logomarcas estabelecidas, que serão disponibilizadas pela </w:t>
            </w:r>
            <w:proofErr w:type="spellStart"/>
            <w:r w:rsidRPr="00A9298B">
              <w:rPr>
                <w:rFonts w:ascii="Times New Roman" w:hAnsi="Times New Roman" w:cs="Times New Roman"/>
                <w:sz w:val="24"/>
                <w:szCs w:val="24"/>
              </w:rPr>
              <w:t>SCDC</w:t>
            </w:r>
            <w:proofErr w:type="spellEnd"/>
            <w:r w:rsidRPr="00A9298B">
              <w:rPr>
                <w:rFonts w:ascii="Times New Roman" w:hAnsi="Times New Roman" w:cs="Times New Roman"/>
                <w:sz w:val="24"/>
                <w:szCs w:val="24"/>
              </w:rPr>
              <w:t>/MinC e pelo ENTE PÚBLICO parceiro, observadas as restrições vigentes em ano eleitoral, quando for o caso;</w:t>
            </w:r>
          </w:p>
          <w:p w14:paraId="313462A3"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IV - desenvolver uma gestão compartilhada e participativa, por meio de instâncias, fóruns e espaços de diálogos junto aos beneficiários em sua área de abrangência;</w:t>
            </w:r>
          </w:p>
          <w:p w14:paraId="41B8D89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V - envidar esforços visando atuar nos processos participativos instituídos pelo Sistema Nacional de Cultura-SNC (especialmente as Conferências de Cultura) e pela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(especialmente as </w:t>
            </w:r>
            <w:proofErr w:type="spellStart"/>
            <w:r w:rsidRPr="00A9298B">
              <w:rPr>
                <w:rFonts w:ascii="Times New Roman" w:hAnsi="Times New Roman" w:cs="Times New Roman"/>
                <w:sz w:val="24"/>
                <w:szCs w:val="24"/>
              </w:rPr>
              <w:t>TEIAs</w:t>
            </w:r>
            <w:proofErr w:type="spellEnd"/>
            <w:r w:rsidRPr="00A9298B">
              <w:rPr>
                <w:rFonts w:ascii="Times New Roman" w:hAnsi="Times New Roman" w:cs="Times New Roman"/>
                <w:sz w:val="24"/>
                <w:szCs w:val="24"/>
              </w:rPr>
              <w:t>) em âmbito local, regional e nacional;</w:t>
            </w:r>
          </w:p>
          <w:p w14:paraId="6B59D65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VI - estimular a participação ativa dos beneficiários da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nos processos participativos instituídos no SNC e na </w:t>
            </w:r>
            <w:proofErr w:type="spellStart"/>
            <w:r w:rsidRPr="00A9298B">
              <w:rPr>
                <w:rFonts w:ascii="Times New Roman" w:hAnsi="Times New Roman" w:cs="Times New Roman"/>
                <w:sz w:val="24"/>
                <w:szCs w:val="24"/>
              </w:rPr>
              <w:t>PNCV</w:t>
            </w:r>
            <w:proofErr w:type="spellEnd"/>
            <w:r w:rsidRPr="00A9298B">
              <w:rPr>
                <w:rFonts w:ascii="Times New Roman" w:hAnsi="Times New Roman" w:cs="Times New Roman"/>
                <w:sz w:val="24"/>
                <w:szCs w:val="24"/>
              </w:rPr>
              <w:t xml:space="preserve"> em âmbito local, regional e nacional;</w:t>
            </w:r>
          </w:p>
          <w:p w14:paraId="7081D93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VII - contribuir com a organização e funcionamento da Rede Cultura Viva e de suas instâncias, mecanismos e processos de gestão compartilhada, participação e controle social;</w:t>
            </w:r>
          </w:p>
          <w:p w14:paraId="407729F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VIII - manter seus dados cadastrais atualizados no Cadastro Nacional de Pontos e Pontões de Cultura, atendendo à chamada anual de atualização de dados;</w:t>
            </w:r>
          </w:p>
          <w:p w14:paraId="36919C8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IX - dar transparência aos valores pagos a título de remuneração de sua equipe de trabalho vinculada à execução do TCC, em sua sede e no seu sítio eletrônico, sendo vedado o pagamento, a qualquer título, a servidor ou empregado público, salvo nas hipóteses previstas em lei específica ou na Lei de Diretrizes Orçamentárias, a empresas privadas que tenham em seu quadro societário servidor público da ativa, ou a empregado de empresa pública, ou de sociedade de economia mista, por serviços prestados, inclusive consultoria, assistência técnica ou assemelhados;</w:t>
            </w:r>
          </w:p>
          <w:p w14:paraId="0B2DEE6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 - permitir livre acesso dos servidores dos órgãos ou das entidades públicas repassadoras dos recursos, do controle interno e do tribunal de contas correspondentes aos processos, aos documentos, às informações referentes aos instrumentos de transferências regulamentados pela Instrução Normativa/MinC nº 8/2016, bem como aos locais de execução do objeto;</w:t>
            </w:r>
          </w:p>
          <w:p w14:paraId="7C1FFB0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 xml:space="preserve">XI - a responsabilidade exclusiva pelo gerenciamento administrativo e financeiro dos recursos recebidos; </w:t>
            </w:r>
          </w:p>
          <w:p w14:paraId="71EEF17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XII - pagar os encargos trabalhistas, previdenciários, fiscais e comerciais relativos ao funcionamento da instituição e ao adimplemento do TCC, não se caracterizando responsabilidade solidária ou subsidiária da administração pública concedente pelos respectivos pagamentos ou qualquer oneração do objeto da parceria ou restrição à sua execução;</w:t>
            </w:r>
          </w:p>
          <w:p w14:paraId="76B18671"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XIII - prestar contas dos recursos recebidos, conforme acordado neste Termo e  na forma dos atos normativos que se relacionam com o tema;</w:t>
            </w:r>
          </w:p>
          <w:p w14:paraId="137F89C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XIV - guardar os documentos originais de comprovação do cumprimento do objeto pelo prazo de cinco anos após a entrega da prestação de contas, estando ciente de que a documentação de comprovação fiscal em princípio não será exigida, mas deve ser obtida e guardada pela entidade cultural pelo mesmo prazo, e inclusive pode ser solicitada para fins de demonstração de cumprimento de obrigações perante outras autoridades estatais, tais como os órgãos de fiscalização tributária, previdenciária e trabalhista, órgãos de controle interno e externo do Governo Estadual ou Federal; e</w:t>
            </w:r>
          </w:p>
          <w:p w14:paraId="1ED539F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XV - adquirir e manter em bom estado equipamentos multimídia, direcionados à cultura digital, que contribuam com o objeto pactuado, salvo quando a Entidade declare que já possui equipamento em adequadas condições de manutenção e funcionamento, comprometendo-se a disponibilizá-lo para uso na execução da parceria.</w:t>
            </w:r>
          </w:p>
        </w:tc>
      </w:tr>
    </w:tbl>
    <w:p w14:paraId="27DE0B0B" w14:textId="77777777" w:rsidR="00DC74FB" w:rsidRPr="00A9298B" w:rsidRDefault="00DC74FB">
      <w:pPr>
        <w:ind w:left="0" w:hanging="2"/>
        <w:rPr>
          <w:rFonts w:ascii="Times New Roman" w:hAnsi="Times New Roman" w:cs="Times New Roman"/>
        </w:rPr>
      </w:pPr>
    </w:p>
    <w:tbl>
      <w:tblPr>
        <w:tblStyle w:val="aff2"/>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03F209C0"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0C5A6C1B"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5. DOS VALORES</w:t>
            </w:r>
          </w:p>
        </w:tc>
      </w:tr>
      <w:tr w:rsidR="00895315" w:rsidRPr="00A9298B" w14:paraId="20E49317" w14:textId="77777777">
        <w:trPr>
          <w:trHeight w:val="139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776CB83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Para execução das atividades previstas no Plano de Trabalho deste TCC, serão disponibilizados pelo Ente Público recursos no valor total de </w:t>
            </w:r>
            <w:proofErr w:type="spellStart"/>
            <w:r w:rsidRPr="00A9298B">
              <w:rPr>
                <w:rFonts w:ascii="Times New Roman" w:hAnsi="Times New Roman" w:cs="Times New Roman"/>
                <w:sz w:val="24"/>
                <w:szCs w:val="24"/>
              </w:rPr>
              <w:t>R$XXXX</w:t>
            </w:r>
            <w:proofErr w:type="spellEnd"/>
            <w:r w:rsidRPr="00A9298B">
              <w:rPr>
                <w:rFonts w:ascii="Times New Roman" w:hAnsi="Times New Roman" w:cs="Times New Roman"/>
                <w:sz w:val="24"/>
                <w:szCs w:val="24"/>
              </w:rPr>
              <w:t xml:space="preserve">, em parcela única, de acordo com o Cronograma de Desembolso constante do Plano de Trabalho, correspondente à Nota de Empenho </w:t>
            </w:r>
            <w:proofErr w:type="spellStart"/>
            <w:r w:rsidRPr="00A9298B">
              <w:rPr>
                <w:rFonts w:ascii="Times New Roman" w:hAnsi="Times New Roman" w:cs="Times New Roman"/>
                <w:sz w:val="24"/>
                <w:szCs w:val="24"/>
              </w:rPr>
              <w:t>XXXX</w:t>
            </w:r>
            <w:proofErr w:type="spellEnd"/>
            <w:r w:rsidRPr="00A9298B">
              <w:rPr>
                <w:rFonts w:ascii="Times New Roman" w:hAnsi="Times New Roman" w:cs="Times New Roman"/>
                <w:sz w:val="24"/>
                <w:szCs w:val="24"/>
              </w:rPr>
              <w:t>, de XX/XX/2023.</w:t>
            </w:r>
          </w:p>
        </w:tc>
      </w:tr>
      <w:tr w:rsidR="00895315" w:rsidRPr="00A9298B" w14:paraId="19E4F241"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7BEBA34E"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5.1 Da movimentação dos recursos financeiros</w:t>
            </w:r>
          </w:p>
        </w:tc>
      </w:tr>
      <w:tr w:rsidR="00895315" w:rsidRPr="00A9298B" w14:paraId="792036AC"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7F2E787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Os recursos referentes ao presente Termo de Compromisso Cultural, a serem desembolsados pelo Ente Público, serão depositados e geridos em conta específica de instituição financeira indicada pela entidade cultural, na Agência </w:t>
            </w:r>
            <w:proofErr w:type="spellStart"/>
            <w:r w:rsidRPr="00A9298B">
              <w:rPr>
                <w:rFonts w:ascii="Times New Roman" w:hAnsi="Times New Roman" w:cs="Times New Roman"/>
                <w:sz w:val="24"/>
                <w:szCs w:val="24"/>
              </w:rPr>
              <w:t>XXXX</w:t>
            </w:r>
            <w:proofErr w:type="spellEnd"/>
            <w:r w:rsidRPr="00A9298B">
              <w:rPr>
                <w:rFonts w:ascii="Times New Roman" w:hAnsi="Times New Roman" w:cs="Times New Roman"/>
                <w:sz w:val="24"/>
                <w:szCs w:val="24"/>
              </w:rPr>
              <w:t xml:space="preserve"> – Banco </w:t>
            </w:r>
            <w:proofErr w:type="spellStart"/>
            <w:r w:rsidRPr="00A9298B">
              <w:rPr>
                <w:rFonts w:ascii="Times New Roman" w:hAnsi="Times New Roman" w:cs="Times New Roman"/>
                <w:sz w:val="24"/>
                <w:szCs w:val="24"/>
              </w:rPr>
              <w:t>XXXX</w:t>
            </w:r>
            <w:proofErr w:type="spellEnd"/>
            <w:r w:rsidRPr="00A9298B">
              <w:rPr>
                <w:rFonts w:ascii="Times New Roman" w:hAnsi="Times New Roman" w:cs="Times New Roman"/>
                <w:sz w:val="24"/>
                <w:szCs w:val="24"/>
              </w:rPr>
              <w:t xml:space="preserve">, na cidade </w:t>
            </w:r>
            <w:proofErr w:type="spellStart"/>
            <w:r w:rsidRPr="00A9298B">
              <w:rPr>
                <w:rFonts w:ascii="Times New Roman" w:hAnsi="Times New Roman" w:cs="Times New Roman"/>
                <w:sz w:val="24"/>
                <w:szCs w:val="24"/>
              </w:rPr>
              <w:t>XXXX</w:t>
            </w:r>
            <w:proofErr w:type="spellEnd"/>
            <w:r w:rsidRPr="00A9298B">
              <w:rPr>
                <w:rFonts w:ascii="Times New Roman" w:hAnsi="Times New Roman" w:cs="Times New Roman"/>
                <w:sz w:val="24"/>
                <w:szCs w:val="24"/>
              </w:rPr>
              <w:t>, UF XX, em conformidade com os prazos estabelecidos no Cronograma Financeiro constante do Plano de Trabalho.</w:t>
            </w:r>
          </w:p>
          <w:p w14:paraId="34D0205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5.1.1 Os recursos depositados nesta conta bancária específica, enquanto não empregados na sua finalidade, serão obrigatoriamente aplicados:</w:t>
            </w:r>
          </w:p>
          <w:p w14:paraId="2F75323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em caderneta de poupança, ou</w:t>
            </w:r>
          </w:p>
          <w:p w14:paraId="3E148A4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em fundo de aplicação financeira de curto prazo ou operação de mercado aberto lastreada em título da dívida pública.</w:t>
            </w:r>
          </w:p>
          <w:p w14:paraId="350989E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5.1.2 Os recursos deste Termo de Compromisso Cultural serão utilizados exclusivamente para o pagamento das despesas previstas no objeto do TCC, vedada a sua aplicação em finalidade diversa, ainda que decorrentes de necessidade emergencial do PONTO DE CULTURA.</w:t>
            </w:r>
          </w:p>
          <w:p w14:paraId="49FC410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5.1.3 Os rendimentos de aplicações financeiras poderão ser aplicados para manter o poder de compra dos recursos da parceria, bem como para ampliação ou criação de metas, durante a vigência do TCC, desde que contribuam para a execução do objeto, ou para incremento deste.</w:t>
            </w:r>
          </w:p>
          <w:p w14:paraId="6D5788C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5.1.4 O uso de rendimentos para as finalidades descritas no item 5.1.3 poderá ser realizado sem autorização prévia da administração pública, desde que seja descrito no Relatório de Execução do Objeto, com motivação.</w:t>
            </w:r>
          </w:p>
          <w:p w14:paraId="52270EF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5.1.5 O remanejamento de recurso no plano de trabalho poderá ocorrer desde que:</w:t>
            </w:r>
          </w:p>
          <w:p w14:paraId="3F75D71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seja realizado durante a vigência do TCC;</w:t>
            </w:r>
          </w:p>
          <w:p w14:paraId="26C9AAD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tenha como finalidade o cumprimento do objeto pactuado;</w:t>
            </w:r>
          </w:p>
          <w:p w14:paraId="21AC660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III - não altere o valor global do orçamento aprovado no TCC.</w:t>
            </w:r>
          </w:p>
          <w:p w14:paraId="6DD4006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5.1.6 Após a conclusão, rescisão ou extinção deste TCC, os saldos financeiros remanescentes, inclusive os provenientes das receitas obtidas das aplicações financeiras realizadas, deverão ser devolvidos pelo PONTO DE CULTURA ao Ente Público, no prazo de trinta dias.</w:t>
            </w:r>
          </w:p>
        </w:tc>
      </w:tr>
    </w:tbl>
    <w:p w14:paraId="63DE5ACB" w14:textId="77777777" w:rsidR="00DC74FB" w:rsidRPr="00A9298B" w:rsidRDefault="00DC74FB">
      <w:pPr>
        <w:ind w:left="0" w:hanging="2"/>
        <w:rPr>
          <w:rFonts w:ascii="Times New Roman" w:hAnsi="Times New Roman" w:cs="Times New Roman"/>
        </w:rPr>
      </w:pPr>
    </w:p>
    <w:p w14:paraId="644E16C1" w14:textId="77777777" w:rsidR="00DC74FB" w:rsidRPr="00A9298B" w:rsidRDefault="00DC74FB">
      <w:pPr>
        <w:ind w:left="0" w:hanging="2"/>
        <w:rPr>
          <w:rFonts w:ascii="Times New Roman" w:hAnsi="Times New Roman" w:cs="Times New Roman"/>
        </w:rPr>
      </w:pPr>
    </w:p>
    <w:tbl>
      <w:tblPr>
        <w:tblStyle w:val="aff3"/>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002BC22B"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22CBD15E"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6. DO ACOMPANHAMENTO E AVALIAÇÃO</w:t>
            </w:r>
          </w:p>
        </w:tc>
      </w:tr>
      <w:tr w:rsidR="00895315" w:rsidRPr="00A9298B" w14:paraId="254E0CCC"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29C495E2" w14:textId="5C1A5191"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6.1. </w:t>
            </w:r>
            <w:r w:rsidR="001015B4" w:rsidRPr="00A9298B">
              <w:rPr>
                <w:rFonts w:ascii="Times New Roman" w:hAnsi="Times New Roman" w:cs="Times New Roman"/>
                <w:sz w:val="24"/>
                <w:szCs w:val="24"/>
              </w:rPr>
              <w:t xml:space="preserve">O </w:t>
            </w:r>
            <w:proofErr w:type="spellStart"/>
            <w:r w:rsidR="001015B4" w:rsidRPr="00A9298B">
              <w:rPr>
                <w:rFonts w:ascii="Times New Roman" w:hAnsi="Times New Roman" w:cs="Times New Roman"/>
                <w:sz w:val="24"/>
                <w:szCs w:val="24"/>
              </w:rPr>
              <w:t>MUNICIPIO</w:t>
            </w:r>
            <w:proofErr w:type="spellEnd"/>
            <w:r w:rsidR="001015B4" w:rsidRPr="00A9298B">
              <w:rPr>
                <w:rFonts w:ascii="Times New Roman" w:hAnsi="Times New Roman" w:cs="Times New Roman"/>
                <w:sz w:val="24"/>
                <w:szCs w:val="24"/>
              </w:rPr>
              <w:t xml:space="preserve"> DE JACOBINA </w:t>
            </w:r>
            <w:proofErr w:type="spellStart"/>
            <w:r w:rsidR="001015B4" w:rsidRPr="00A9298B">
              <w:rPr>
                <w:rFonts w:ascii="Times New Roman" w:hAnsi="Times New Roman" w:cs="Times New Roman"/>
                <w:sz w:val="24"/>
                <w:szCs w:val="24"/>
              </w:rPr>
              <w:t>ATRAVES</w:t>
            </w:r>
            <w:proofErr w:type="spellEnd"/>
            <w:r w:rsidR="001015B4" w:rsidRPr="00A9298B">
              <w:rPr>
                <w:rFonts w:ascii="Times New Roman" w:hAnsi="Times New Roman" w:cs="Times New Roman"/>
                <w:sz w:val="24"/>
                <w:szCs w:val="24"/>
              </w:rPr>
              <w:t xml:space="preserve"> DA DIRETORIA DE CULTURA </w:t>
            </w:r>
            <w:r w:rsidRPr="00A9298B">
              <w:rPr>
                <w:rFonts w:ascii="Times New Roman" w:hAnsi="Times New Roman" w:cs="Times New Roman"/>
                <w:sz w:val="24"/>
                <w:szCs w:val="24"/>
              </w:rPr>
              <w:t>realizará o acompanhamento e a avaliação da execução</w:t>
            </w:r>
            <w:r w:rsidRPr="00A9298B">
              <w:rPr>
                <w:rFonts w:ascii="Times New Roman" w:hAnsi="Times New Roman" w:cs="Times New Roman"/>
                <w:i/>
                <w:sz w:val="24"/>
                <w:szCs w:val="24"/>
              </w:rPr>
              <w:t xml:space="preserve"> </w:t>
            </w:r>
            <w:r w:rsidRPr="00A9298B">
              <w:rPr>
                <w:rFonts w:ascii="Times New Roman" w:hAnsi="Times New Roman" w:cs="Times New Roman"/>
                <w:sz w:val="24"/>
                <w:szCs w:val="24"/>
              </w:rPr>
              <w:t>deste TCC, periodicamente, durante a vigência da parceria, com vistas a promover o levantamento de dados para subsidiar a avaliação da prestação de contas podendo, para tanto:</w:t>
            </w:r>
          </w:p>
          <w:p w14:paraId="75B6C3A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exigir informações técnicas (incluindo relatório fotográfico), prestações de contas parciais e/ou final a qualquer momento;</w:t>
            </w:r>
          </w:p>
          <w:p w14:paraId="7F7D1A5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exigir o registro, nos sistemas institucionais indicados pelo Ministério da Cultura, das atividades provenientes da execução do TCC;</w:t>
            </w:r>
          </w:p>
          <w:p w14:paraId="7D683D7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III - usar os diversos canais eletrônicos de comunicação e divulgação absorvendo informações sobre a execução do TCC e adotando providências necessárias, quando for o caso;</w:t>
            </w:r>
          </w:p>
          <w:p w14:paraId="230AF18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IV - fazer vistoria in loco (vistoria no local);</w:t>
            </w:r>
          </w:p>
          <w:p w14:paraId="75E1505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V - utilizar apoio técnico de terceiros, delegar competência ou firmar parcerias com órgãos ou entidades.</w:t>
            </w:r>
          </w:p>
          <w:p w14:paraId="5FD2FFB4" w14:textId="5EF87232"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6.2 </w:t>
            </w:r>
            <w:r w:rsidR="001015B4" w:rsidRPr="00A9298B">
              <w:rPr>
                <w:rFonts w:ascii="Times New Roman" w:hAnsi="Times New Roman" w:cs="Times New Roman"/>
                <w:sz w:val="24"/>
                <w:szCs w:val="24"/>
              </w:rPr>
              <w:t xml:space="preserve">A </w:t>
            </w:r>
            <w:proofErr w:type="spellStart"/>
            <w:r w:rsidR="001015B4" w:rsidRPr="00A9298B">
              <w:rPr>
                <w:rFonts w:ascii="Times New Roman" w:hAnsi="Times New Roman" w:cs="Times New Roman"/>
                <w:sz w:val="24"/>
                <w:szCs w:val="24"/>
              </w:rPr>
              <w:t>MUNICIPIO</w:t>
            </w:r>
            <w:proofErr w:type="spellEnd"/>
            <w:r w:rsidR="001015B4" w:rsidRPr="00A9298B">
              <w:rPr>
                <w:rFonts w:ascii="Times New Roman" w:hAnsi="Times New Roman" w:cs="Times New Roman"/>
                <w:sz w:val="24"/>
                <w:szCs w:val="24"/>
              </w:rPr>
              <w:t xml:space="preserve"> DE JACOBINA </w:t>
            </w:r>
            <w:proofErr w:type="spellStart"/>
            <w:r w:rsidR="001015B4" w:rsidRPr="00A9298B">
              <w:rPr>
                <w:rFonts w:ascii="Times New Roman" w:hAnsi="Times New Roman" w:cs="Times New Roman"/>
                <w:sz w:val="24"/>
                <w:szCs w:val="24"/>
              </w:rPr>
              <w:t>ATRAVES</w:t>
            </w:r>
            <w:proofErr w:type="spellEnd"/>
            <w:r w:rsidR="001015B4" w:rsidRPr="00A9298B">
              <w:rPr>
                <w:rFonts w:ascii="Times New Roman" w:hAnsi="Times New Roman" w:cs="Times New Roman"/>
                <w:sz w:val="24"/>
                <w:szCs w:val="24"/>
              </w:rPr>
              <w:t xml:space="preserve"> DA DIRETORIA DE CULTURA</w:t>
            </w:r>
            <w:r w:rsidR="00895315" w:rsidRPr="00A9298B">
              <w:rPr>
                <w:rFonts w:ascii="Times New Roman" w:hAnsi="Times New Roman" w:cs="Times New Roman"/>
                <w:sz w:val="24"/>
                <w:szCs w:val="24"/>
              </w:rPr>
              <w:t xml:space="preserve"> </w:t>
            </w:r>
            <w:r w:rsidRPr="00A9298B">
              <w:rPr>
                <w:rFonts w:ascii="Times New Roman" w:hAnsi="Times New Roman" w:cs="Times New Roman"/>
                <w:sz w:val="24"/>
                <w:szCs w:val="24"/>
              </w:rPr>
              <w:t>produzirá registros sobre suas atividades de acompanhamento e monitoramento, por meio de certidões, memórias de reunião, relatórios ou outros documentos técnicos, podendo propor à entidade cultural a reorientação das ações ou a realização de ajustes para aprimorar a execução do objeto da parceria.</w:t>
            </w:r>
          </w:p>
          <w:p w14:paraId="3CA872E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6.3 Os </w:t>
            </w:r>
            <w:proofErr w:type="spellStart"/>
            <w:r w:rsidRPr="00A9298B">
              <w:rPr>
                <w:rFonts w:ascii="Times New Roman" w:hAnsi="Times New Roman" w:cs="Times New Roman"/>
                <w:sz w:val="24"/>
                <w:szCs w:val="24"/>
              </w:rPr>
              <w:t>TCCs</w:t>
            </w:r>
            <w:proofErr w:type="spellEnd"/>
            <w:r w:rsidRPr="00A9298B">
              <w:rPr>
                <w:rFonts w:ascii="Times New Roman" w:hAnsi="Times New Roman" w:cs="Times New Roman"/>
                <w:sz w:val="24"/>
                <w:szCs w:val="24"/>
              </w:rPr>
              <w:t xml:space="preserve"> estarão também sujeitos aos mecanismos de controle social previstos na legislação e ao acompanhamento por comissões e conselhos de políticas públicas da área cultural.</w:t>
            </w:r>
          </w:p>
        </w:tc>
      </w:tr>
    </w:tbl>
    <w:p w14:paraId="3E4DBD02" w14:textId="77777777" w:rsidR="00DC74FB" w:rsidRPr="00A9298B" w:rsidRDefault="00DC74FB">
      <w:pPr>
        <w:ind w:left="0" w:hanging="2"/>
        <w:rPr>
          <w:rFonts w:ascii="Times New Roman" w:hAnsi="Times New Roman" w:cs="Times New Roman"/>
        </w:rPr>
      </w:pPr>
    </w:p>
    <w:tbl>
      <w:tblPr>
        <w:tblStyle w:val="aff4"/>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36A98DA2"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4758D9D5"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lastRenderedPageBreak/>
              <w:t>7. DA PRESTAÇÃO DE CONTAS</w:t>
            </w:r>
          </w:p>
        </w:tc>
      </w:tr>
      <w:tr w:rsidR="00895315" w:rsidRPr="00A9298B" w14:paraId="62EBD1B2"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21AB3DBF" w14:textId="6D787106"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7.1 A prestação de contas será apresentada por meio do </w:t>
            </w:r>
            <w:r w:rsidRPr="00A9298B">
              <w:rPr>
                <w:rFonts w:ascii="Times New Roman" w:hAnsi="Times New Roman" w:cs="Times New Roman"/>
                <w:sz w:val="24"/>
                <w:szCs w:val="24"/>
                <w:u w:val="single"/>
              </w:rPr>
              <w:t>Relatório de Execução do Objeto</w:t>
            </w:r>
            <w:r w:rsidRPr="00A9298B">
              <w:rPr>
                <w:rFonts w:ascii="Times New Roman" w:hAnsi="Times New Roman" w:cs="Times New Roman"/>
                <w:sz w:val="24"/>
                <w:szCs w:val="24"/>
              </w:rPr>
              <w:t xml:space="preserve">,, no prazo de </w:t>
            </w:r>
            <w:r w:rsidR="001015B4" w:rsidRPr="00A9298B">
              <w:rPr>
                <w:rFonts w:ascii="Times New Roman" w:hAnsi="Times New Roman" w:cs="Times New Roman"/>
                <w:sz w:val="24"/>
                <w:szCs w:val="24"/>
              </w:rPr>
              <w:t>30 dias,</w:t>
            </w:r>
            <w:r w:rsidRPr="00A9298B">
              <w:rPr>
                <w:rFonts w:ascii="Times New Roman" w:hAnsi="Times New Roman" w:cs="Times New Roman"/>
                <w:sz w:val="24"/>
                <w:szCs w:val="24"/>
              </w:rPr>
              <w:t xml:space="preserve"> após o fim da vigência do TCC, contendo:</w:t>
            </w:r>
          </w:p>
          <w:p w14:paraId="416C7D3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relato das atividades realizadas para o cumprimento do objeto, que deve tratar sobre o alcance dos objetivos, sobre ações eventualmente realizadas para promover a acessibilidade e os desdobramentos do projeto, tendo por referência as informações constantes no plano de trabalho;</w:t>
            </w:r>
          </w:p>
          <w:p w14:paraId="7A0C5CA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comparativo de metas propostas com os resultados alcançados, a partir das informações constantes do plano de trabalho, podendo a comprovação sobre os produtos e serviços relativos às metas se dar pela apresentação de fotos, listas de presença, vídeos, entre outros;</w:t>
            </w:r>
          </w:p>
          <w:p w14:paraId="474A686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III - material que comprove a execução de cada item de despesa e a consecução de cada uma das metas (fotos, listas de presença, vídeos, entre outros) descrito no Plano de Trabalho.</w:t>
            </w:r>
          </w:p>
          <w:p w14:paraId="0C94F2A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7.2 Os documentos originais de comprovação do cumprimento do objeto deverão ser guardados pelo PONTO DE CULTURA pelo prazo de cinco anos após a entrega da prestação de contas.</w:t>
            </w:r>
          </w:p>
          <w:p w14:paraId="492D5DA3"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7.3 O prazo de apresentação do Relatório de Execução do Objeto poderá ser prorrogado por até trinta dias, mediante solicitação fundamentada do PONTO DE CULTURA.</w:t>
            </w:r>
          </w:p>
          <w:p w14:paraId="6C6E0AC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7.4 Caso o Ente Público verifique que houve inadequação na execução do objeto, o PONTO DE CULTURA será notificado para apresentar Relatório de Execução Financeiro, no prazo de trinta dias, contendo:</w:t>
            </w:r>
          </w:p>
          <w:p w14:paraId="54A183C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relação de pagamentos, com indicação dos beneficiários desses pagamentos e identificação do item de despesa e meta relacionados a cada pagamento;</w:t>
            </w:r>
          </w:p>
          <w:p w14:paraId="534A898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extrato bancário da conta do TCC, incluindo toda a movimentação desde a abertura até a última movimentação, e conciliação bancária; e</w:t>
            </w:r>
          </w:p>
          <w:p w14:paraId="6D8A8DAD"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III - comprovante de recolhimento do saldo remanescente de recursos, quando houver.</w:t>
            </w:r>
          </w:p>
          <w:p w14:paraId="776A284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7.5 O Ente Público considerará que houve inadequação na execução do objeto quando configurada uma das seguintes hipóteses:</w:t>
            </w:r>
          </w:p>
          <w:p w14:paraId="3E98CE97"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quando for identificado o descumprimento injustificado do alcance das metas; ou</w:t>
            </w:r>
          </w:p>
          <w:p w14:paraId="073A4EC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quando for aceita denúncia de irregularidade, mediante juízo de admissibilidade realizado pelo Ente Público.</w:t>
            </w:r>
          </w:p>
        </w:tc>
      </w:tr>
    </w:tbl>
    <w:p w14:paraId="0BD8917A" w14:textId="77777777" w:rsidR="00DC74FB" w:rsidRPr="00A9298B" w:rsidRDefault="00DC74FB">
      <w:pPr>
        <w:ind w:left="0" w:hanging="2"/>
        <w:rPr>
          <w:rFonts w:ascii="Times New Roman" w:hAnsi="Times New Roman" w:cs="Times New Roman"/>
        </w:rPr>
      </w:pPr>
    </w:p>
    <w:tbl>
      <w:tblPr>
        <w:tblStyle w:val="aff5"/>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7051EE6C"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0E51B9CF"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8. DOS BENS REMANESCENTES</w:t>
            </w:r>
          </w:p>
        </w:tc>
      </w:tr>
      <w:tr w:rsidR="00895315" w:rsidRPr="00A9298B" w14:paraId="020CE188"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1234963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8.1 Os bens patrimoniais adquiridos, produzidos, transformados ou construídos com recursos deste TCC são da titularidade da Entidade Cultural celebrante e ficarão afetados ao objeto do presente TCC durante o prazo de sua duração, sendo considerados bens remanescentes ao seu término, dispensada a celebração de instrumento específico para esta finalidade.</w:t>
            </w:r>
          </w:p>
          <w:p w14:paraId="0674059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8.2 Quando da extinção da parceria, os bens remanescentes permanecerão na propriedade da Entidade Cultural, na medida em que os bens sejam úteis à continuidade da execução de ações de interesse social pela organização.</w:t>
            </w:r>
          </w:p>
          <w:p w14:paraId="2C082A0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8.3 Caso a prestação de contas final seja rejeitada, a titularidade dos bens remanescentes permanecerá com a Entidade Cultural, observados os seguintes procedimentos:</w:t>
            </w:r>
          </w:p>
          <w:p w14:paraId="50405DA0"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não será exigido ressarcimento do valor relativo ao bem adquirido quando a motivação da rejeição não estiver relacionada ao seu uso ou aquisição; ou</w:t>
            </w:r>
          </w:p>
          <w:p w14:paraId="5054A73B"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II - o valor pelo qual o bem remanescente foi adquirido deverá ser computado no cálculo do dano ao erário a ser ressarcido, quando a motivação da rejeição estiver relacionada ao seu uso ou aquisição. </w:t>
            </w:r>
          </w:p>
          <w:p w14:paraId="5AA04FA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8.4 Na hipótese de dissolução da Entidade Cultural durante a vigência do TCC, o valor pelo qual os bens remanescentes foram adquiridos deverá ser computado no cálculo do valor a ser ressarcido.</w:t>
            </w:r>
          </w:p>
          <w:p w14:paraId="531DD0D4"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8.5 A Entidade Cultural poderá realizar doação dos bens remanescentes a terceiros, inclusive beneficiários da política pública objeto da parceria, desde que demonstrada sua utilidade para realização ou continuidade de ações de interesse social.</w:t>
            </w:r>
          </w:p>
          <w:p w14:paraId="39E13034"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8.6 Os bens remanescentes poderão ter sua propriedade revertida para o Ente Público, a critério deste, se ao término da parceria ficar constatado que a Entidade Cultural não terá condições de dar continuidade à execução de ações de interesse social e a transferência da propriedade for necessária para assegurar a continuidade do objeto pactuado, seja por meio da celebração de nova parceria, seja pela execução direta do objeto pela Administração Pública Federal.</w:t>
            </w:r>
          </w:p>
          <w:p w14:paraId="0F0316E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8.7 A destinação dos bens remanescentes poderá ser alterada por meio da celebração de Termo Aditivo ao TCC, após solicitação fundamentada de uma das partes.</w:t>
            </w:r>
          </w:p>
          <w:p w14:paraId="049277D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8.8 No caso de término da execução do TCC antes da manifestação sobre eventual solicitação de uma das partes de alteração da destinação dos bens remanescentes, a custódia dos bens permanecerá sob a responsabilidade da Entidade Cultural até a decisão do pedido.</w:t>
            </w:r>
          </w:p>
        </w:tc>
      </w:tr>
    </w:tbl>
    <w:p w14:paraId="4334D122" w14:textId="77777777" w:rsidR="00DC74FB" w:rsidRPr="00A9298B" w:rsidRDefault="00DC74FB">
      <w:pPr>
        <w:ind w:left="0" w:hanging="2"/>
        <w:rPr>
          <w:rFonts w:ascii="Times New Roman" w:hAnsi="Times New Roman" w:cs="Times New Roman"/>
        </w:rPr>
      </w:pPr>
    </w:p>
    <w:tbl>
      <w:tblPr>
        <w:tblStyle w:val="aff6"/>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4C1F256A"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5C47DE11"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9. DA PROPRIEDADE INTELECTUAL</w:t>
            </w:r>
          </w:p>
        </w:tc>
      </w:tr>
      <w:tr w:rsidR="00895315" w:rsidRPr="00A9298B" w14:paraId="7BC6B8ED"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61EB3B48"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9.1 Caso as atividades realizadas pela ENTIDADE CULTURAL com recursos públicos provenientes do Termo de Compromisso Cultural deem origem a bens passíveis de proteção pelo direito de propriedade intelectual, a exemplo de invenções, modelos de utilidade, desenhos industriais, obras intelectuais, cultivares, direitos autorais, programas de computador e outros tipos de criação, a ENTIDADE CULTURAL terá a titularidade da propriedade intelectual e a participação nos ganhos econômicos resultantes da exploração dos respectivos bens, os quais ficarão gravados com cláusula de inalienabilidade durante a vigência do Termo de Compromisso Cultural.</w:t>
            </w:r>
          </w:p>
          <w:p w14:paraId="184E28F4"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9.2 - A ORGANIZAÇÃO DA SOCIEDADE CIVIL declara, mediante a assinatura deste instrumento, que se responsabiliza integralmente por providenciar desde já, independente de solicitação da ADMINISTRAÇÃO PÚBLICA, todas as autorizações necessárias para que a ADMINISTRAÇÃO PÚBLICA, sem ônus, durante o prazo de proteção dos direitos incidentes, em território nacional e estrangeiro, em caráter não exclusivo, utilize para fins de divulgação da Política Nacional de Cultura Viva, os bens submetidos a regime de propriedade intelectual que eventualmente decorrerem da execução deste TCC, da seguinte forma:</w:t>
            </w:r>
          </w:p>
          <w:p w14:paraId="0985CC6B"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9.2.1 - Quanto aos direitos de que trata a Lei Nacional nº 9.279/1996, pelo uso de produto objeto de patente, processo ou produto obtido diretamente por processo patenteado, desenho industrial, indicação geográfica e marcas;</w:t>
            </w:r>
          </w:p>
          <w:p w14:paraId="6CFFEC0D"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9.2.2 - Quanto aos direitos de que trata a Lei Nacional nº 9.610/1998, pelas seguintes modalidades:</w:t>
            </w:r>
          </w:p>
          <w:p w14:paraId="310F9DFE"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 - a reprodução parcial ou integral, para fins de divulgação;</w:t>
            </w:r>
          </w:p>
          <w:p w14:paraId="3F2CE913"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 - a tradução para qualquer idioma;</w:t>
            </w:r>
          </w:p>
          <w:p w14:paraId="38F6428A"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III - a inclusão em fonograma ou produção audiovisual;</w:t>
            </w:r>
          </w:p>
          <w:p w14:paraId="5A636A4B"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IV - a inclusão em base de dados, o armazenamento em computador, a microfilmagem e as demais formas de arquivamento do gênero.</w:t>
            </w:r>
          </w:p>
          <w:p w14:paraId="32F1A7FF"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9.2 Quando da extinção do TCC, os bens remanescentes passíveis de proteção pelo direito de propriedade intelectual poderão ter sua propriedade revertida para o órgão ou entidade pública federal, a critério da Administração Pública, quando a ENTIDADE CULTURAL não tiver condições de dar continuidade à execução de ações de interesse social e a transferência da propriedade for necessária para assegurar a continuidade do objeto pactuado, seja por meio da celebração de nova parceria, seja pela execução direta do objeto pela Administração Pública.</w:t>
            </w:r>
          </w:p>
        </w:tc>
      </w:tr>
    </w:tbl>
    <w:p w14:paraId="11B14D64" w14:textId="77777777" w:rsidR="00DC74FB" w:rsidRPr="00A9298B" w:rsidRDefault="00DC74FB">
      <w:pPr>
        <w:ind w:left="0" w:hanging="2"/>
        <w:rPr>
          <w:rFonts w:ascii="Times New Roman" w:hAnsi="Times New Roman" w:cs="Times New Roman"/>
        </w:rPr>
      </w:pPr>
    </w:p>
    <w:tbl>
      <w:tblPr>
        <w:tblStyle w:val="aff7"/>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50F18E17"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59F2C161"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10. DO PRAZO DE VIGÊNCIA</w:t>
            </w:r>
          </w:p>
        </w:tc>
      </w:tr>
      <w:tr w:rsidR="00895315" w:rsidRPr="00A9298B" w14:paraId="24033D08" w14:textId="77777777">
        <w:trPr>
          <w:trHeight w:val="984"/>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5DE4D8C1" w14:textId="33698E55"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 xml:space="preserve">10.1 O prazo de vigência deste TCC será de </w:t>
            </w:r>
            <w:r w:rsidR="00895315" w:rsidRPr="00A9298B">
              <w:rPr>
                <w:rFonts w:ascii="Times New Roman" w:hAnsi="Times New Roman" w:cs="Times New Roman"/>
                <w:sz w:val="24"/>
                <w:szCs w:val="24"/>
              </w:rPr>
              <w:t>6 (seis</w:t>
            </w:r>
            <w:r w:rsidRPr="00A9298B">
              <w:rPr>
                <w:rFonts w:ascii="Times New Roman" w:hAnsi="Times New Roman" w:cs="Times New Roman"/>
                <w:sz w:val="24"/>
                <w:szCs w:val="24"/>
              </w:rPr>
              <w:t>) meses, contados a partir da data de sua assinatura, podendo ser prorrogado pelo dobro do tempo pactuado, mediante acordo entre as partes, excetuadas as prorrogações de ofício por atraso na liberação dos recursos.</w:t>
            </w:r>
          </w:p>
          <w:p w14:paraId="2F5C3A22"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10.2 A vigência do TCC poderá ser alterada mediante solicitação da entidade cultural, a ser apresentada à administração pública em, no mínimo, trinta dias antes do término de sua vigência.</w:t>
            </w:r>
          </w:p>
          <w:p w14:paraId="002EF1EA"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10.3 A prorrogação de ofício da vigência do instrumento deve ser feita pela administração pública, antes do seu término, quando ela der causa a atraso na liberação dos recursos, limitada ao exato período do atraso verificado.</w:t>
            </w:r>
          </w:p>
        </w:tc>
      </w:tr>
    </w:tbl>
    <w:p w14:paraId="2B491707" w14:textId="77777777" w:rsidR="00DC74FB" w:rsidRPr="00A9298B" w:rsidRDefault="00DC74FB">
      <w:pPr>
        <w:ind w:left="0" w:hanging="2"/>
        <w:rPr>
          <w:rFonts w:ascii="Times New Roman" w:hAnsi="Times New Roman" w:cs="Times New Roman"/>
        </w:rPr>
      </w:pPr>
    </w:p>
    <w:tbl>
      <w:tblPr>
        <w:tblStyle w:val="aff8"/>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18E112D7"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2E053578"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11. DA RESCISÃO</w:t>
            </w:r>
          </w:p>
        </w:tc>
      </w:tr>
      <w:tr w:rsidR="00895315" w:rsidRPr="00A9298B" w14:paraId="0D7CB243" w14:textId="77777777">
        <w:trPr>
          <w:trHeight w:val="2265"/>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0D9C7835"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lastRenderedPageBreak/>
              <w:t>11.1 É facultado ao Ente Público e à entidade cultural rescindirem este TCC, a qualquer tempo, com as respectivas condições, sanções e delimitações claras de responsabilidades, além da estipulação de prazo mínimo de antecedência para a publicidade dessa intenção, que não poderá ser inferior a 60 (sessenta) dias.</w:t>
            </w:r>
          </w:p>
          <w:p w14:paraId="46BC4246"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11.2 O Ente Público deverá rescindir este TCC caso seja cancelada a certificação simplificada do Pontão ou Pontão de Cultura, respeitados os atos jurídicos perfeitos, na forma do art. 11 da Instrução Normativa/MinC nº 8/2016.</w:t>
            </w:r>
          </w:p>
          <w:p w14:paraId="3F475A09"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11.3 A Entidade Cultural deverá devolver ao Ente Público os saldos financeiros remanescentes, inclusive os provenientes das receitas obtidas das aplicações financeiras realizadas, no prazo de trinta dias após a conclusão, rescisão ou extinção da parceria, sob pena de adoção de medidas cabíveis para ressarcimento ao erário.</w:t>
            </w:r>
          </w:p>
          <w:p w14:paraId="2F55E69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11.4 Havendo rescisão, a entidade cultural fica obrigada a prestar contas de tudo que fora executado até a data da rescisão, observado o prazo e regras da Seção 7.</w:t>
            </w:r>
          </w:p>
        </w:tc>
      </w:tr>
    </w:tbl>
    <w:p w14:paraId="03CF61AD" w14:textId="77777777" w:rsidR="00DC74FB" w:rsidRPr="00A9298B" w:rsidRDefault="00DC74FB">
      <w:pPr>
        <w:ind w:left="0" w:hanging="2"/>
        <w:rPr>
          <w:rFonts w:ascii="Times New Roman" w:hAnsi="Times New Roman" w:cs="Times New Roman"/>
        </w:rPr>
      </w:pPr>
    </w:p>
    <w:tbl>
      <w:tblPr>
        <w:tblStyle w:val="aff9"/>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2AB371F0"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45E2D934"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12.. DA PUBLICAÇÃO</w:t>
            </w:r>
          </w:p>
        </w:tc>
      </w:tr>
      <w:tr w:rsidR="00895315" w:rsidRPr="00A9298B" w14:paraId="0A882B13" w14:textId="77777777">
        <w:trPr>
          <w:trHeight w:val="851"/>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4126DA0E"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O Ente Público publicará extrato deste TCC no meio oficial de publicidade da administração pública, após a assinatura, para que se inicie a produção de seus efeitos.</w:t>
            </w:r>
          </w:p>
        </w:tc>
      </w:tr>
    </w:tbl>
    <w:p w14:paraId="24E91F2B" w14:textId="77777777" w:rsidR="00DC74FB" w:rsidRPr="00A9298B" w:rsidRDefault="00DC74FB">
      <w:pPr>
        <w:ind w:left="0" w:hanging="2"/>
        <w:rPr>
          <w:rFonts w:ascii="Times New Roman" w:hAnsi="Times New Roman" w:cs="Times New Roman"/>
        </w:rPr>
      </w:pPr>
    </w:p>
    <w:tbl>
      <w:tblPr>
        <w:tblStyle w:val="affa"/>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972"/>
      </w:tblGrid>
      <w:tr w:rsidR="00895315" w:rsidRPr="00A9298B" w14:paraId="0177CCDC" w14:textId="77777777">
        <w:trPr>
          <w:trHeight w:val="525"/>
        </w:trPr>
        <w:tc>
          <w:tcPr>
            <w:tcW w:w="9972" w:type="dxa"/>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1E5D6EFE"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13. DO FORO</w:t>
            </w:r>
          </w:p>
        </w:tc>
      </w:tr>
      <w:tr w:rsidR="00895315" w:rsidRPr="00A9298B" w14:paraId="0F5B9EBF" w14:textId="77777777">
        <w:trPr>
          <w:trHeight w:val="851"/>
        </w:trPr>
        <w:tc>
          <w:tcPr>
            <w:tcW w:w="99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6BFACB71"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As partes comprometem-se a submeter eventuais controvérsias decorrentes do presente ajuste à prévia tentativa de solução administrativa. As controvérsias que não possam ser resolvidas administrativamente serão submetidas ao foro da Justiça [aqui inserir o foro]</w:t>
            </w:r>
          </w:p>
        </w:tc>
      </w:tr>
    </w:tbl>
    <w:p w14:paraId="48E5CB98" w14:textId="77777777" w:rsidR="00DC74FB" w:rsidRPr="00A9298B" w:rsidRDefault="00DC74FB">
      <w:pPr>
        <w:ind w:left="0" w:hanging="2"/>
        <w:rPr>
          <w:rFonts w:ascii="Times New Roman" w:hAnsi="Times New Roman" w:cs="Times New Roman"/>
        </w:rPr>
      </w:pPr>
    </w:p>
    <w:tbl>
      <w:tblPr>
        <w:tblStyle w:val="affb"/>
        <w:tblW w:w="9972"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812"/>
        <w:gridCol w:w="5160"/>
      </w:tblGrid>
      <w:tr w:rsidR="00895315" w:rsidRPr="00A9298B" w14:paraId="1A544410" w14:textId="77777777">
        <w:trPr>
          <w:trHeight w:val="525"/>
        </w:trPr>
        <w:tc>
          <w:tcPr>
            <w:tcW w:w="9972" w:type="dxa"/>
            <w:gridSpan w:val="2"/>
            <w:tcBorders>
              <w:top w:val="single" w:sz="6" w:space="0" w:color="000000"/>
              <w:left w:val="single" w:sz="6" w:space="0" w:color="000000"/>
              <w:bottom w:val="single" w:sz="4" w:space="0" w:color="000000"/>
              <w:right w:val="single" w:sz="6" w:space="0" w:color="000000"/>
            </w:tcBorders>
            <w:shd w:val="clear" w:color="auto" w:fill="D9D9D9"/>
            <w:tcMar>
              <w:top w:w="0" w:type="dxa"/>
              <w:left w:w="100" w:type="dxa"/>
              <w:bottom w:w="0" w:type="dxa"/>
              <w:right w:w="100" w:type="dxa"/>
            </w:tcMar>
          </w:tcPr>
          <w:p w14:paraId="32C067A0" w14:textId="77777777" w:rsidR="00DC74FB" w:rsidRPr="00A9298B" w:rsidRDefault="00000000">
            <w:pPr>
              <w:pBdr>
                <w:top w:val="nil"/>
                <w:left w:val="nil"/>
                <w:bottom w:val="nil"/>
                <w:right w:val="nil"/>
                <w:between w:val="nil"/>
              </w:pBdr>
              <w:spacing w:before="120" w:after="120" w:line="240" w:lineRule="auto"/>
              <w:ind w:left="0" w:hanging="2"/>
              <w:jc w:val="both"/>
              <w:rPr>
                <w:rFonts w:ascii="Times New Roman" w:hAnsi="Times New Roman" w:cs="Times New Roman"/>
                <w:b/>
                <w:sz w:val="24"/>
                <w:szCs w:val="24"/>
              </w:rPr>
            </w:pPr>
            <w:r w:rsidRPr="00A9298B">
              <w:rPr>
                <w:rFonts w:ascii="Times New Roman" w:hAnsi="Times New Roman" w:cs="Times New Roman"/>
                <w:b/>
                <w:sz w:val="24"/>
                <w:szCs w:val="24"/>
              </w:rPr>
              <w:t>14. DATA E ASSINATURAS</w:t>
            </w:r>
          </w:p>
        </w:tc>
      </w:tr>
      <w:tr w:rsidR="00895315" w:rsidRPr="00A9298B" w14:paraId="4C73785F" w14:textId="77777777">
        <w:trPr>
          <w:trHeight w:val="851"/>
        </w:trPr>
        <w:tc>
          <w:tcPr>
            <w:tcW w:w="997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2DC3D29C" w14:textId="77777777" w:rsidR="00DC74FB" w:rsidRPr="00A9298B" w:rsidRDefault="00000000">
            <w:pPr>
              <w:spacing w:before="120" w:after="120" w:line="240" w:lineRule="auto"/>
              <w:ind w:left="0" w:hanging="2"/>
              <w:jc w:val="both"/>
              <w:rPr>
                <w:rFonts w:ascii="Times New Roman" w:hAnsi="Times New Roman" w:cs="Times New Roman"/>
                <w:sz w:val="24"/>
                <w:szCs w:val="24"/>
              </w:rPr>
            </w:pPr>
            <w:r w:rsidRPr="00A9298B">
              <w:rPr>
                <w:rFonts w:ascii="Times New Roman" w:hAnsi="Times New Roman" w:cs="Times New Roman"/>
                <w:sz w:val="24"/>
                <w:szCs w:val="24"/>
              </w:rPr>
              <w:t>E, por assim estarem plenamente de acordo, as partes obrigam-se ao total cumprimento dos termos do presente instrumento.</w:t>
            </w:r>
          </w:p>
        </w:tc>
      </w:tr>
      <w:tr w:rsidR="00895315" w:rsidRPr="00A9298B" w14:paraId="01E30BB0" w14:textId="77777777">
        <w:trPr>
          <w:trHeight w:val="851"/>
        </w:trPr>
        <w:tc>
          <w:tcPr>
            <w:tcW w:w="48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0" w:type="dxa"/>
              <w:bottom w:w="0" w:type="dxa"/>
              <w:right w:w="100" w:type="dxa"/>
            </w:tcMar>
          </w:tcPr>
          <w:p w14:paraId="04DDBC37" w14:textId="77777777" w:rsidR="00DC74FB" w:rsidRPr="00A9298B" w:rsidRDefault="00000000">
            <w:pPr>
              <w:spacing w:before="120" w:after="120" w:line="240" w:lineRule="auto"/>
              <w:ind w:left="0" w:hanging="2"/>
              <w:jc w:val="center"/>
              <w:rPr>
                <w:rFonts w:ascii="Times New Roman" w:hAnsi="Times New Roman" w:cs="Times New Roman"/>
                <w:sz w:val="24"/>
                <w:szCs w:val="24"/>
              </w:rPr>
            </w:pPr>
            <w:r w:rsidRPr="00A9298B">
              <w:rPr>
                <w:rFonts w:ascii="Times New Roman" w:hAnsi="Times New Roman" w:cs="Times New Roman"/>
                <w:sz w:val="24"/>
                <w:szCs w:val="24"/>
              </w:rPr>
              <w:t>(</w:t>
            </w:r>
            <w:r w:rsidRPr="00A9298B">
              <w:rPr>
                <w:rFonts w:ascii="Times New Roman" w:hAnsi="Times New Roman" w:cs="Times New Roman"/>
                <w:i/>
                <w:sz w:val="24"/>
                <w:szCs w:val="24"/>
              </w:rPr>
              <w:t>assinado eletronicamente</w:t>
            </w:r>
            <w:r w:rsidRPr="00A9298B">
              <w:rPr>
                <w:rFonts w:ascii="Times New Roman" w:hAnsi="Times New Roman" w:cs="Times New Roman"/>
                <w:sz w:val="24"/>
                <w:szCs w:val="24"/>
              </w:rPr>
              <w:t>)</w:t>
            </w:r>
          </w:p>
          <w:p w14:paraId="498A4C71" w14:textId="77777777" w:rsidR="00DC74FB" w:rsidRPr="00A9298B" w:rsidRDefault="00000000">
            <w:pPr>
              <w:spacing w:before="120" w:after="120" w:line="240" w:lineRule="auto"/>
              <w:ind w:left="0" w:hanging="2"/>
              <w:jc w:val="center"/>
              <w:rPr>
                <w:rFonts w:ascii="Times New Roman" w:hAnsi="Times New Roman" w:cs="Times New Roman"/>
                <w:b/>
                <w:sz w:val="24"/>
                <w:szCs w:val="24"/>
              </w:rPr>
            </w:pPr>
            <w:r w:rsidRPr="00A9298B">
              <w:rPr>
                <w:rFonts w:ascii="Times New Roman" w:hAnsi="Times New Roman" w:cs="Times New Roman"/>
                <w:b/>
                <w:sz w:val="24"/>
                <w:szCs w:val="24"/>
              </w:rPr>
              <w:t>NOME</w:t>
            </w:r>
          </w:p>
          <w:p w14:paraId="59A3694F" w14:textId="77777777" w:rsidR="00DC74FB" w:rsidRPr="00A9298B" w:rsidRDefault="00000000">
            <w:pPr>
              <w:spacing w:before="120" w:after="120" w:line="240" w:lineRule="auto"/>
              <w:ind w:left="0" w:hanging="2"/>
              <w:jc w:val="center"/>
              <w:rPr>
                <w:rFonts w:ascii="Times New Roman" w:hAnsi="Times New Roman" w:cs="Times New Roman"/>
                <w:sz w:val="24"/>
                <w:szCs w:val="24"/>
              </w:rPr>
            </w:pPr>
            <w:r w:rsidRPr="00A9298B">
              <w:rPr>
                <w:rFonts w:ascii="Times New Roman" w:hAnsi="Times New Roman" w:cs="Times New Roman"/>
                <w:sz w:val="24"/>
                <w:szCs w:val="24"/>
              </w:rPr>
              <w:t>CARGO</w:t>
            </w:r>
          </w:p>
          <w:p w14:paraId="6D0BE8DE" w14:textId="77777777" w:rsidR="00DC74FB" w:rsidRPr="00A9298B" w:rsidRDefault="00000000">
            <w:pPr>
              <w:spacing w:before="120" w:after="120" w:line="240" w:lineRule="auto"/>
              <w:ind w:left="0" w:hanging="2"/>
              <w:jc w:val="center"/>
              <w:rPr>
                <w:rFonts w:ascii="Times New Roman" w:hAnsi="Times New Roman" w:cs="Times New Roman"/>
                <w:sz w:val="24"/>
                <w:szCs w:val="24"/>
              </w:rPr>
            </w:pPr>
            <w:r w:rsidRPr="00A9298B">
              <w:rPr>
                <w:rFonts w:ascii="Times New Roman" w:hAnsi="Times New Roman" w:cs="Times New Roman"/>
                <w:sz w:val="24"/>
                <w:szCs w:val="24"/>
              </w:rPr>
              <w:t>Representante legal da entidade cultural</w:t>
            </w:r>
          </w:p>
        </w:tc>
        <w:tc>
          <w:tcPr>
            <w:tcW w:w="5160" w:type="dxa"/>
            <w:tcBorders>
              <w:top w:val="single" w:sz="4" w:space="0" w:color="000000"/>
              <w:left w:val="single" w:sz="4" w:space="0" w:color="000000"/>
              <w:bottom w:val="single" w:sz="4" w:space="0" w:color="000000"/>
              <w:right w:val="single" w:sz="4" w:space="0" w:color="000000"/>
            </w:tcBorders>
            <w:shd w:val="clear" w:color="auto" w:fill="FFFFFF"/>
          </w:tcPr>
          <w:p w14:paraId="7CF17F6F" w14:textId="77777777" w:rsidR="00DC74FB" w:rsidRPr="00A9298B" w:rsidRDefault="00000000">
            <w:pPr>
              <w:spacing w:before="120" w:after="120" w:line="240" w:lineRule="auto"/>
              <w:ind w:left="0" w:hanging="2"/>
              <w:jc w:val="center"/>
              <w:rPr>
                <w:rFonts w:ascii="Times New Roman" w:hAnsi="Times New Roman" w:cs="Times New Roman"/>
                <w:sz w:val="24"/>
                <w:szCs w:val="24"/>
              </w:rPr>
            </w:pPr>
            <w:r w:rsidRPr="00A9298B">
              <w:rPr>
                <w:rFonts w:ascii="Times New Roman" w:hAnsi="Times New Roman" w:cs="Times New Roman"/>
                <w:sz w:val="24"/>
                <w:szCs w:val="24"/>
              </w:rPr>
              <w:t xml:space="preserve">  (</w:t>
            </w:r>
            <w:r w:rsidRPr="00A9298B">
              <w:rPr>
                <w:rFonts w:ascii="Times New Roman" w:hAnsi="Times New Roman" w:cs="Times New Roman"/>
                <w:i/>
                <w:sz w:val="24"/>
                <w:szCs w:val="24"/>
              </w:rPr>
              <w:t>assinado eletronicamente</w:t>
            </w:r>
            <w:r w:rsidRPr="00A9298B">
              <w:rPr>
                <w:rFonts w:ascii="Times New Roman" w:hAnsi="Times New Roman" w:cs="Times New Roman"/>
                <w:sz w:val="24"/>
                <w:szCs w:val="24"/>
              </w:rPr>
              <w:t>)</w:t>
            </w:r>
          </w:p>
          <w:p w14:paraId="57B2D004" w14:textId="77777777" w:rsidR="00DC74FB" w:rsidRPr="00A9298B" w:rsidRDefault="00000000">
            <w:pPr>
              <w:spacing w:before="120" w:after="120" w:line="240" w:lineRule="auto"/>
              <w:ind w:left="0" w:hanging="2"/>
              <w:jc w:val="center"/>
              <w:rPr>
                <w:rFonts w:ascii="Times New Roman" w:hAnsi="Times New Roman" w:cs="Times New Roman"/>
                <w:sz w:val="24"/>
                <w:szCs w:val="24"/>
              </w:rPr>
            </w:pPr>
            <w:r w:rsidRPr="00A9298B">
              <w:rPr>
                <w:rFonts w:ascii="Times New Roman" w:hAnsi="Times New Roman" w:cs="Times New Roman"/>
                <w:sz w:val="24"/>
                <w:szCs w:val="24"/>
              </w:rPr>
              <w:t>Representante legal do órgão ou entidade pública</w:t>
            </w:r>
          </w:p>
        </w:tc>
      </w:tr>
    </w:tbl>
    <w:p w14:paraId="7E44176E" w14:textId="77777777" w:rsidR="00DC74FB" w:rsidRPr="00A9298B" w:rsidRDefault="00DC74FB">
      <w:pPr>
        <w:spacing w:before="120" w:after="120" w:line="240" w:lineRule="auto"/>
        <w:ind w:left="0" w:hanging="2"/>
        <w:jc w:val="both"/>
        <w:rPr>
          <w:rFonts w:ascii="Times New Roman" w:hAnsi="Times New Roman" w:cs="Times New Roman"/>
          <w:sz w:val="24"/>
          <w:szCs w:val="24"/>
        </w:rPr>
      </w:pPr>
    </w:p>
    <w:sectPr w:rsidR="00DC74FB" w:rsidRPr="00A9298B">
      <w:headerReference w:type="even" r:id="rId7"/>
      <w:headerReference w:type="default" r:id="rId8"/>
      <w:footerReference w:type="even" r:id="rId9"/>
      <w:footerReference w:type="default" r:id="rId10"/>
      <w:headerReference w:type="first" r:id="rId11"/>
      <w:footerReference w:type="first" r:id="rId12"/>
      <w:pgSz w:w="12240" w:h="15840"/>
      <w:pgMar w:top="1984" w:right="1133" w:bottom="1133" w:left="1133" w:header="566" w:footer="5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DD5A0" w14:textId="77777777" w:rsidR="00C120EF" w:rsidRDefault="00C120EF">
      <w:pPr>
        <w:spacing w:after="0" w:line="240" w:lineRule="auto"/>
        <w:ind w:left="0" w:hanging="2"/>
      </w:pPr>
      <w:r>
        <w:separator/>
      </w:r>
    </w:p>
  </w:endnote>
  <w:endnote w:type="continuationSeparator" w:id="0">
    <w:p w14:paraId="0AB2E814" w14:textId="77777777" w:rsidR="00C120EF" w:rsidRDefault="00C120E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1FDD" w14:textId="77777777" w:rsidR="00DC74FB" w:rsidRDefault="00DC74FB">
    <w:pPr>
      <w:pBdr>
        <w:top w:val="nil"/>
        <w:left w:val="nil"/>
        <w:bottom w:val="nil"/>
        <w:right w:val="nil"/>
        <w:between w:val="nil"/>
      </w:pBdr>
      <w:tabs>
        <w:tab w:val="center" w:pos="4252"/>
        <w:tab w:val="right" w:pos="8504"/>
      </w:tabs>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15CC" w14:textId="225C3408" w:rsidR="00DC74FB" w:rsidRDefault="00713321">
    <w:pPr>
      <w:pBdr>
        <w:top w:val="nil"/>
        <w:left w:val="nil"/>
        <w:bottom w:val="nil"/>
        <w:right w:val="nil"/>
        <w:between w:val="nil"/>
      </w:pBdr>
      <w:tabs>
        <w:tab w:val="center" w:pos="4252"/>
        <w:tab w:val="right" w:pos="8504"/>
      </w:tabs>
      <w:spacing w:after="0" w:line="240" w:lineRule="auto"/>
      <w:ind w:left="0" w:hanging="2"/>
      <w:jc w:val="right"/>
      <w:rPr>
        <w:color w:val="000000"/>
        <w:sz w:val="16"/>
        <w:szCs w:val="16"/>
      </w:rPr>
    </w:pPr>
    <w:r>
      <w:rPr>
        <w:noProof/>
      </w:rPr>
      <w:drawing>
        <wp:anchor distT="0" distB="0" distL="114300" distR="114300" simplePos="0" relativeHeight="251667456" behindDoc="0" locked="0" layoutInCell="1" allowOverlap="1" wp14:anchorId="49D37615" wp14:editId="578AD474">
          <wp:simplePos x="0" y="0"/>
          <wp:positionH relativeFrom="column">
            <wp:posOffset>3181350</wp:posOffset>
          </wp:positionH>
          <wp:positionV relativeFrom="page">
            <wp:posOffset>9460765</wp:posOffset>
          </wp:positionV>
          <wp:extent cx="2775585" cy="573405"/>
          <wp:effectExtent l="0" t="0" r="0" b="0"/>
          <wp:wrapNone/>
          <wp:docPr id="287168643" name="Imagem 1" descr="Uma imagem contendo 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68643" name="Imagem 1" descr="Uma imagem contendo Interface gráfica do usuári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775585" cy="573405"/>
                  </a:xfrm>
                  <a:prstGeom prst="rect">
                    <a:avLst/>
                  </a:prstGeom>
                </pic:spPr>
              </pic:pic>
            </a:graphicData>
          </a:graphic>
          <wp14:sizeRelH relativeFrom="page">
            <wp14:pctWidth>0</wp14:pctWidth>
          </wp14:sizeRelH>
          <wp14:sizeRelV relativeFrom="page">
            <wp14:pctHeight>0</wp14:pctHeight>
          </wp14:sizeRelV>
        </wp:anchor>
      </w:drawing>
    </w:r>
    <w:r>
      <w:rPr>
        <w:color w:val="000000"/>
        <w:sz w:val="16"/>
        <w:szCs w:val="16"/>
      </w:rPr>
      <w:t xml:space="preserve">               Página </w:t>
    </w:r>
    <w:r>
      <w:rPr>
        <w:b/>
        <w:color w:val="000000"/>
        <w:sz w:val="16"/>
        <w:szCs w:val="16"/>
      </w:rPr>
      <w:fldChar w:fldCharType="begin"/>
    </w:r>
    <w:r>
      <w:rPr>
        <w:b/>
        <w:color w:val="000000"/>
        <w:sz w:val="16"/>
        <w:szCs w:val="16"/>
      </w:rPr>
      <w:instrText>PAGE</w:instrText>
    </w:r>
    <w:r>
      <w:rPr>
        <w:b/>
        <w:color w:val="000000"/>
        <w:sz w:val="16"/>
        <w:szCs w:val="16"/>
      </w:rPr>
      <w:fldChar w:fldCharType="separate"/>
    </w:r>
    <w:r w:rsidR="00895315">
      <w:rPr>
        <w:b/>
        <w:noProof/>
        <w:color w:val="000000"/>
        <w:sz w:val="16"/>
        <w:szCs w:val="16"/>
      </w:rPr>
      <w:t>1</w:t>
    </w:r>
    <w:r>
      <w:rPr>
        <w:b/>
        <w:color w:val="000000"/>
        <w:sz w:val="16"/>
        <w:szCs w:val="16"/>
      </w:rPr>
      <w:fldChar w:fldCharType="end"/>
    </w:r>
    <w:r>
      <w:rPr>
        <w:color w:val="000000"/>
        <w:sz w:val="16"/>
        <w:szCs w:val="16"/>
      </w:rPr>
      <w:t xml:space="preserve"> de </w:t>
    </w:r>
    <w:r>
      <w:rPr>
        <w:b/>
        <w:color w:val="000000"/>
        <w:sz w:val="16"/>
        <w:szCs w:val="16"/>
      </w:rPr>
      <w:fldChar w:fldCharType="begin"/>
    </w:r>
    <w:r>
      <w:rPr>
        <w:b/>
        <w:color w:val="000000"/>
        <w:sz w:val="16"/>
        <w:szCs w:val="16"/>
      </w:rPr>
      <w:instrText>NUMPAGES</w:instrText>
    </w:r>
    <w:r>
      <w:rPr>
        <w:b/>
        <w:color w:val="000000"/>
        <w:sz w:val="16"/>
        <w:szCs w:val="16"/>
      </w:rPr>
      <w:fldChar w:fldCharType="separate"/>
    </w:r>
    <w:r w:rsidR="00895315">
      <w:rPr>
        <w:b/>
        <w:noProof/>
        <w:color w:val="000000"/>
        <w:sz w:val="16"/>
        <w:szCs w:val="16"/>
      </w:rPr>
      <w:t>2</w:t>
    </w:r>
    <w:r>
      <w:rPr>
        <w:b/>
        <w:color w:val="000000"/>
        <w:sz w:val="16"/>
        <w:szCs w:val="16"/>
      </w:rPr>
      <w:fldChar w:fldCharType="end"/>
    </w:r>
    <w:r>
      <w:rPr>
        <w:noProof/>
      </w:rPr>
      <w:drawing>
        <wp:anchor distT="114300" distB="114300" distL="114300" distR="114300" simplePos="0" relativeHeight="251661312" behindDoc="1" locked="0" layoutInCell="1" hidden="0" allowOverlap="1" wp14:anchorId="45BE89D0" wp14:editId="6D7817EB">
          <wp:simplePos x="0" y="0"/>
          <wp:positionH relativeFrom="column">
            <wp:posOffset>-304799</wp:posOffset>
          </wp:positionH>
          <wp:positionV relativeFrom="paragraph">
            <wp:posOffset>142875</wp:posOffset>
          </wp:positionV>
          <wp:extent cx="1038225" cy="446488"/>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t="93105" r="81893" b="1416"/>
                  <a:stretch>
                    <a:fillRect/>
                  </a:stretch>
                </pic:blipFill>
                <pic:spPr>
                  <a:xfrm>
                    <a:off x="0" y="0"/>
                    <a:ext cx="1038225" cy="446488"/>
                  </a:xfrm>
                  <a:prstGeom prst="rect">
                    <a:avLst/>
                  </a:prstGeom>
                  <a:ln/>
                </pic:spPr>
              </pic:pic>
            </a:graphicData>
          </a:graphic>
        </wp:anchor>
      </w:drawing>
    </w:r>
  </w:p>
  <w:p w14:paraId="37E506BB" w14:textId="118B26CD" w:rsidR="00DC74FB" w:rsidRDefault="00895315">
    <w:pPr>
      <w:pBdr>
        <w:top w:val="nil"/>
        <w:left w:val="nil"/>
        <w:bottom w:val="nil"/>
        <w:right w:val="nil"/>
        <w:between w:val="nil"/>
      </w:pBdr>
      <w:tabs>
        <w:tab w:val="center" w:pos="4252"/>
        <w:tab w:val="right" w:pos="8504"/>
      </w:tabs>
      <w:spacing w:after="0" w:line="240" w:lineRule="auto"/>
      <w:ind w:left="0" w:hanging="2"/>
      <w:rPr>
        <w:color w:val="000000"/>
      </w:rPr>
    </w:pPr>
    <w:r>
      <w:rPr>
        <w:noProof/>
      </w:rPr>
      <w:drawing>
        <wp:anchor distT="0" distB="0" distL="114300" distR="114300" simplePos="0" relativeHeight="251663360" behindDoc="0" locked="0" layoutInCell="1" allowOverlap="1" wp14:anchorId="6E87FA84" wp14:editId="5E5E7DC9">
          <wp:simplePos x="0" y="0"/>
          <wp:positionH relativeFrom="margin">
            <wp:posOffset>908785</wp:posOffset>
          </wp:positionH>
          <wp:positionV relativeFrom="paragraph">
            <wp:posOffset>50165</wp:posOffset>
          </wp:positionV>
          <wp:extent cx="2092147" cy="372948"/>
          <wp:effectExtent l="0" t="0" r="3810" b="8255"/>
          <wp:wrapNone/>
          <wp:docPr id="985981141" name="Imagem 2" descr="Ícone&#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733817" name="Imagem 2" descr="Ícone&#10;&#10;O conteúdo gerado por IA pode estar incorreto."/>
                  <pic:cNvPicPr/>
                </pic:nvPicPr>
                <pic:blipFill>
                  <a:blip r:embed="rId3">
                    <a:extLst>
                      <a:ext uri="{28A0092B-C50C-407E-A947-70E740481C1C}">
                        <a14:useLocalDpi xmlns:a14="http://schemas.microsoft.com/office/drawing/2010/main" val="0"/>
                      </a:ext>
                    </a:extLst>
                  </a:blip>
                  <a:stretch>
                    <a:fillRect/>
                  </a:stretch>
                </pic:blipFill>
                <pic:spPr>
                  <a:xfrm>
                    <a:off x="0" y="0"/>
                    <a:ext cx="2092147" cy="372948"/>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D289" w14:textId="77777777" w:rsidR="00DC74FB" w:rsidRDefault="00DC74FB">
    <w:pPr>
      <w:pBdr>
        <w:top w:val="nil"/>
        <w:left w:val="nil"/>
        <w:bottom w:val="nil"/>
        <w:right w:val="nil"/>
        <w:between w:val="nil"/>
      </w:pBdr>
      <w:tabs>
        <w:tab w:val="center" w:pos="4252"/>
        <w:tab w:val="right" w:pos="8504"/>
      </w:tabs>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C6173" w14:textId="77777777" w:rsidR="00C120EF" w:rsidRDefault="00C120EF">
      <w:pPr>
        <w:spacing w:after="0" w:line="240" w:lineRule="auto"/>
        <w:ind w:left="0" w:hanging="2"/>
      </w:pPr>
      <w:r>
        <w:separator/>
      </w:r>
    </w:p>
  </w:footnote>
  <w:footnote w:type="continuationSeparator" w:id="0">
    <w:p w14:paraId="3737153A" w14:textId="77777777" w:rsidR="00C120EF" w:rsidRDefault="00C120E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A1368" w14:textId="77777777" w:rsidR="00DC74FB" w:rsidRDefault="00DC74FB">
    <w:pPr>
      <w:pBdr>
        <w:top w:val="nil"/>
        <w:left w:val="nil"/>
        <w:bottom w:val="nil"/>
        <w:right w:val="nil"/>
        <w:between w:val="nil"/>
      </w:pBdr>
      <w:tabs>
        <w:tab w:val="center" w:pos="4252"/>
        <w:tab w:val="right" w:pos="8504"/>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FF9E" w14:textId="6E296B8E" w:rsidR="00DC74FB" w:rsidRPr="00713321" w:rsidRDefault="00713321" w:rsidP="00713321">
    <w:pPr>
      <w:tabs>
        <w:tab w:val="center" w:pos="4252"/>
        <w:tab w:val="right" w:pos="8504"/>
      </w:tabs>
      <w:spacing w:after="0" w:line="240" w:lineRule="auto"/>
      <w:ind w:leftChars="0" w:left="0" w:firstLineChars="0" w:firstLine="0"/>
      <w:rPr>
        <w:rFonts w:ascii="Arial" w:eastAsia="Arial" w:hAnsi="Arial" w:cs="Arial"/>
      </w:rPr>
    </w:pPr>
    <w:r>
      <w:rPr>
        <w:noProof/>
      </w:rPr>
      <w:drawing>
        <wp:anchor distT="0" distB="0" distL="114300" distR="114300" simplePos="0" relativeHeight="251665408" behindDoc="0" locked="0" layoutInCell="1" allowOverlap="1" wp14:anchorId="0AED4DDA" wp14:editId="2A960ECB">
          <wp:simplePos x="0" y="0"/>
          <wp:positionH relativeFrom="column">
            <wp:posOffset>-625307</wp:posOffset>
          </wp:positionH>
          <wp:positionV relativeFrom="paragraph">
            <wp:posOffset>-201930</wp:posOffset>
          </wp:positionV>
          <wp:extent cx="2895600" cy="598597"/>
          <wp:effectExtent l="0" t="0" r="0" b="0"/>
          <wp:wrapTopAndBottom/>
          <wp:docPr id="200220770" name="Imagem 2" descr="Logotip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20770" name="Imagem 2" descr="Logotipo&#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895600" cy="59859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C9BD" w14:textId="77777777" w:rsidR="00DC74FB" w:rsidRDefault="00DC74FB">
    <w:pPr>
      <w:pBdr>
        <w:top w:val="nil"/>
        <w:left w:val="nil"/>
        <w:bottom w:val="nil"/>
        <w:right w:val="nil"/>
        <w:between w:val="nil"/>
      </w:pBdr>
      <w:tabs>
        <w:tab w:val="center" w:pos="4252"/>
        <w:tab w:val="right" w:pos="8504"/>
      </w:tabs>
      <w:spacing w:after="0" w:line="240" w:lineRule="auto"/>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4FB"/>
    <w:rsid w:val="000B614E"/>
    <w:rsid w:val="000E5A44"/>
    <w:rsid w:val="0010120B"/>
    <w:rsid w:val="001015B4"/>
    <w:rsid w:val="00122559"/>
    <w:rsid w:val="001E2BCE"/>
    <w:rsid w:val="00291EA7"/>
    <w:rsid w:val="00374B3E"/>
    <w:rsid w:val="003845F0"/>
    <w:rsid w:val="003A650B"/>
    <w:rsid w:val="00615B92"/>
    <w:rsid w:val="00713321"/>
    <w:rsid w:val="0080180E"/>
    <w:rsid w:val="00816C01"/>
    <w:rsid w:val="0083760E"/>
    <w:rsid w:val="00860F51"/>
    <w:rsid w:val="0087641F"/>
    <w:rsid w:val="00895315"/>
    <w:rsid w:val="00965559"/>
    <w:rsid w:val="00A9298B"/>
    <w:rsid w:val="00B5780C"/>
    <w:rsid w:val="00C120EF"/>
    <w:rsid w:val="00C357FF"/>
    <w:rsid w:val="00DC74FB"/>
    <w:rsid w:val="00EF57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9E7F4"/>
  <w15:docId w15:val="{30294989-DE31-4165-9282-8CE0935E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paragraph" w:styleId="Textodebalo">
    <w:name w:val="Balloon Text"/>
    <w:basedOn w:val="Normal"/>
    <w:qFormat/>
    <w:pPr>
      <w:spacing w:after="0" w:line="240" w:lineRule="auto"/>
    </w:pPr>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lang w:eastAsia="en-US"/>
    </w:rPr>
  </w:style>
  <w:style w:type="paragraph" w:styleId="SemEspaamento">
    <w:name w:val="No Spacing"/>
    <w:pPr>
      <w:suppressAutoHyphens/>
      <w:spacing w:line="1" w:lineRule="atLeast"/>
      <w:ind w:leftChars="-1" w:left="-1" w:hangingChars="1"/>
      <w:textDirection w:val="btLr"/>
      <w:textAlignment w:val="top"/>
      <w:outlineLvl w:val="0"/>
    </w:pPr>
    <w:rPr>
      <w:position w:val="-1"/>
      <w:lang w:eastAsia="en-US"/>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sz w:val="20"/>
      <w:szCs w:val="20"/>
    </w:rPr>
  </w:style>
  <w:style w:type="character" w:customStyle="1" w:styleId="TextodecomentrioChar">
    <w:name w:val="Texto de comentário Char"/>
    <w:rPr>
      <w:w w:val="100"/>
      <w:position w:val="-1"/>
      <w:effect w:val="none"/>
      <w:vertAlign w:val="baseline"/>
      <w:cs w:val="0"/>
      <w:em w:val="none"/>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w w:val="100"/>
      <w:position w:val="-1"/>
      <w:effect w:val="none"/>
      <w:vertAlign w:val="baseline"/>
      <w:cs w:val="0"/>
      <w:em w:val="none"/>
      <w:lang w:eastAsia="en-US"/>
    </w:rPr>
  </w:style>
  <w:style w:type="paragraph" w:styleId="PargrafodaLista">
    <w:name w:val="List Paragraph"/>
    <w:basedOn w:val="Normal"/>
    <w:pPr>
      <w:spacing w:after="0" w:line="240" w:lineRule="auto"/>
      <w:ind w:left="720"/>
      <w:contextualSpacing/>
    </w:pPr>
    <w:rPr>
      <w:rFonts w:ascii="Times New Roman" w:eastAsia="Times New Roman" w:hAnsi="Times New Roman"/>
      <w:sz w:val="20"/>
      <w:szCs w:val="20"/>
      <w:lang w:eastAsia="pt-BR"/>
    </w:rPr>
  </w:style>
  <w:style w:type="paragraph" w:customStyle="1" w:styleId="western">
    <w:name w:val="western"/>
    <w:basedOn w:val="Normal"/>
    <w:pPr>
      <w:spacing w:before="100" w:beforeAutospacing="1" w:after="119" w:line="240" w:lineRule="auto"/>
    </w:pPr>
    <w:rPr>
      <w:rFonts w:ascii="Times New Roman" w:eastAsia="Times New Roman" w:hAnsi="Times New Roman"/>
      <w:sz w:val="24"/>
      <w:szCs w:val="24"/>
      <w:lang w:eastAsia="pt-BR"/>
    </w:rPr>
  </w:style>
  <w:style w:type="paragraph" w:styleId="Reviso">
    <w:name w:val="Revision"/>
    <w:pPr>
      <w:suppressAutoHyphens/>
      <w:spacing w:line="1" w:lineRule="atLeast"/>
      <w:ind w:leftChars="-1" w:left="-1" w:hangingChars="1"/>
      <w:textDirection w:val="btLr"/>
      <w:textAlignment w:val="top"/>
      <w:outlineLvl w:val="0"/>
    </w:pPr>
    <w:rPr>
      <w:position w:val="-1"/>
      <w:lang w:eastAsia="en-US"/>
    </w:rPr>
  </w:style>
  <w:style w:type="paragraph" w:customStyle="1" w:styleId="Normal1">
    <w:name w:val="Normal1"/>
    <w:pPr>
      <w:spacing w:after="200" w:line="276" w:lineRule="auto"/>
      <w:ind w:leftChars="-1" w:left="-1" w:hangingChars="1"/>
      <w:textDirection w:val="btLr"/>
      <w:textAlignment w:val="top"/>
      <w:outlineLvl w:val="0"/>
    </w:pPr>
    <w:rPr>
      <w:rFonts w:ascii="Times New Roman" w:eastAsia="Times New Roman" w:hAnsi="Times New Roman"/>
      <w:position w:val="-1"/>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10"/>
    <w:tblPr>
      <w:tblStyleRowBandSize w:val="1"/>
      <w:tblStyleColBandSize w:val="1"/>
      <w:tblCellMar>
        <w:left w:w="108" w:type="dxa"/>
        <w:right w:w="108" w:type="dxa"/>
      </w:tblCellMar>
    </w:tblPr>
  </w:style>
  <w:style w:type="table" w:customStyle="1" w:styleId="3">
    <w:name w:val="3"/>
    <w:basedOn w:val="TableNormal10"/>
    <w:tblPr>
      <w:tblStyleRowBandSize w:val="1"/>
      <w:tblStyleColBandSize w:val="1"/>
      <w:tblCellMar>
        <w:left w:w="108" w:type="dxa"/>
        <w:right w:w="108" w:type="dxa"/>
      </w:tblCellMar>
    </w:tblPr>
  </w:style>
  <w:style w:type="table" w:customStyle="1" w:styleId="2">
    <w:name w:val="2"/>
    <w:basedOn w:val="TableNormal10"/>
    <w:tblPr>
      <w:tblStyleRowBandSize w:val="1"/>
      <w:tblStyleColBandSize w:val="1"/>
      <w:tblCellMar>
        <w:top w:w="100" w:type="dxa"/>
        <w:left w:w="100" w:type="dxa"/>
        <w:bottom w:w="100" w:type="dxa"/>
        <w:right w:w="100" w:type="dxa"/>
      </w:tblCellMar>
    </w:tblPr>
  </w:style>
  <w:style w:type="table" w:customStyle="1" w:styleId="1">
    <w:name w:val="1"/>
    <w:basedOn w:val="TableNormal10"/>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unhideWhenUsed/>
    <w:rsid w:val="0034216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42167"/>
    <w:rPr>
      <w:position w:val="-1"/>
      <w:lang w:eastAsia="en-US"/>
    </w:rPr>
  </w:style>
  <w:style w:type="paragraph" w:styleId="Rodap">
    <w:name w:val="footer"/>
    <w:basedOn w:val="Normal"/>
    <w:link w:val="RodapChar"/>
    <w:uiPriority w:val="99"/>
    <w:unhideWhenUsed/>
    <w:rsid w:val="00342167"/>
    <w:pPr>
      <w:tabs>
        <w:tab w:val="center" w:pos="4252"/>
        <w:tab w:val="right" w:pos="8504"/>
      </w:tabs>
      <w:spacing w:after="0" w:line="240" w:lineRule="auto"/>
    </w:pPr>
  </w:style>
  <w:style w:type="character" w:customStyle="1" w:styleId="RodapChar">
    <w:name w:val="Rodapé Char"/>
    <w:basedOn w:val="Fontepargpadro"/>
    <w:link w:val="Rodap"/>
    <w:uiPriority w:val="99"/>
    <w:rsid w:val="00342167"/>
    <w:rPr>
      <w:position w:val="-1"/>
      <w:lang w:eastAsia="en-US"/>
    </w:rPr>
  </w:style>
  <w:style w:type="table" w:customStyle="1" w:styleId="a">
    <w:basedOn w:val="TableNormal2"/>
    <w:tblPr>
      <w:tblStyleRowBandSize w:val="1"/>
      <w:tblStyleColBandSize w:val="1"/>
      <w:tblCellMar>
        <w:top w:w="100" w:type="dxa"/>
        <w:left w:w="100" w:type="dxa"/>
        <w:bottom w:w="100" w:type="dxa"/>
        <w:right w:w="100"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2"/>
    <w:tblPr>
      <w:tblStyleRowBandSize w:val="1"/>
      <w:tblStyleColBandSize w:val="1"/>
      <w:tblCellMar>
        <w:top w:w="100" w:type="dxa"/>
        <w:left w:w="100" w:type="dxa"/>
        <w:bottom w:w="100" w:type="dxa"/>
        <w:right w:w="100" w:type="dxa"/>
      </w:tblCellMar>
    </w:tblPr>
  </w:style>
  <w:style w:type="table" w:customStyle="1" w:styleId="a6">
    <w:basedOn w:val="TableNormal2"/>
    <w:tblPr>
      <w:tblStyleRowBandSize w:val="1"/>
      <w:tblStyleColBandSize w:val="1"/>
      <w:tblCellMar>
        <w:top w:w="100" w:type="dxa"/>
        <w:left w:w="100" w:type="dxa"/>
        <w:bottom w:w="100" w:type="dxa"/>
        <w:right w:w="100" w:type="dxa"/>
      </w:tblCellMar>
    </w:tblPr>
  </w:style>
  <w:style w:type="table" w:customStyle="1" w:styleId="a7">
    <w:basedOn w:val="TableNormal2"/>
    <w:tblPr>
      <w:tblStyleRowBandSize w:val="1"/>
      <w:tblStyleColBandSize w:val="1"/>
      <w:tblCellMar>
        <w:top w:w="100" w:type="dxa"/>
        <w:left w:w="100" w:type="dxa"/>
        <w:bottom w:w="100" w:type="dxa"/>
        <w:right w:w="10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top w:w="100" w:type="dxa"/>
        <w:left w:w="100" w:type="dxa"/>
        <w:bottom w:w="100" w:type="dxa"/>
        <w:right w:w="100" w:type="dxa"/>
      </w:tblCellMar>
    </w:tblPr>
  </w:style>
  <w:style w:type="table" w:customStyle="1" w:styleId="aa">
    <w:basedOn w:val="TableNormal2"/>
    <w:tblPr>
      <w:tblStyleRowBandSize w:val="1"/>
      <w:tblStyleColBandSize w:val="1"/>
      <w:tblCellMar>
        <w:top w:w="100" w:type="dxa"/>
        <w:left w:w="100" w:type="dxa"/>
        <w:bottom w:w="100" w:type="dxa"/>
        <w:right w:w="100" w:type="dxa"/>
      </w:tblCellMar>
    </w:tblPr>
  </w:style>
  <w:style w:type="table" w:customStyle="1" w:styleId="ab">
    <w:basedOn w:val="TableNormal2"/>
    <w:tblPr>
      <w:tblStyleRowBandSize w:val="1"/>
      <w:tblStyleColBandSize w:val="1"/>
      <w:tblCellMar>
        <w:top w:w="100" w:type="dxa"/>
        <w:left w:w="100" w:type="dxa"/>
        <w:bottom w:w="100" w:type="dxa"/>
        <w:right w:w="100" w:type="dxa"/>
      </w:tblCellMar>
    </w:tblPr>
  </w:style>
  <w:style w:type="table" w:customStyle="1" w:styleId="ac">
    <w:basedOn w:val="TableNormal2"/>
    <w:tblPr>
      <w:tblStyleRowBandSize w:val="1"/>
      <w:tblStyleColBandSize w:val="1"/>
      <w:tblCellMar>
        <w:top w:w="100" w:type="dxa"/>
        <w:left w:w="100" w:type="dxa"/>
        <w:bottom w:w="100" w:type="dxa"/>
        <w:right w:w="100" w:type="dxa"/>
      </w:tblCellMar>
    </w:tblPr>
  </w:style>
  <w:style w:type="table" w:customStyle="1" w:styleId="ad">
    <w:basedOn w:val="TableNormal2"/>
    <w:tblPr>
      <w:tblStyleRowBandSize w:val="1"/>
      <w:tblStyleColBandSize w:val="1"/>
      <w:tblCellMar>
        <w:top w:w="100" w:type="dxa"/>
        <w:left w:w="100" w:type="dxa"/>
        <w:bottom w:w="100" w:type="dxa"/>
        <w:right w:w="100" w:type="dxa"/>
      </w:tblCellMar>
    </w:tblPr>
  </w:style>
  <w:style w:type="table" w:customStyle="1" w:styleId="ae">
    <w:basedOn w:val="TableNormal2"/>
    <w:tblPr>
      <w:tblStyleRowBandSize w:val="1"/>
      <w:tblStyleColBandSize w:val="1"/>
      <w:tblCellMar>
        <w:top w:w="100" w:type="dxa"/>
        <w:left w:w="100" w:type="dxa"/>
        <w:bottom w:w="100" w:type="dxa"/>
        <w:right w:w="100" w:type="dxa"/>
      </w:tblCellMar>
    </w:tblPr>
  </w:style>
  <w:style w:type="table" w:customStyle="1" w:styleId="af">
    <w:basedOn w:val="TableNormal2"/>
    <w:tblPr>
      <w:tblStyleRowBandSize w:val="1"/>
      <w:tblStyleColBandSize w:val="1"/>
      <w:tblCellMar>
        <w:top w:w="100" w:type="dxa"/>
        <w:left w:w="100" w:type="dxa"/>
        <w:bottom w:w="100" w:type="dxa"/>
        <w:right w:w="100" w:type="dxa"/>
      </w:tblCellMar>
    </w:tblPr>
  </w:style>
  <w:style w:type="table" w:customStyle="1" w:styleId="af0">
    <w:basedOn w:val="TableNormal2"/>
    <w:tblPr>
      <w:tblStyleRowBandSize w:val="1"/>
      <w:tblStyleColBandSize w:val="1"/>
      <w:tblCellMar>
        <w:top w:w="100" w:type="dxa"/>
        <w:left w:w="100" w:type="dxa"/>
        <w:bottom w:w="100" w:type="dxa"/>
        <w:right w:w="100" w:type="dxa"/>
      </w:tblCellMar>
    </w:tblPr>
  </w:style>
  <w:style w:type="table" w:customStyle="1" w:styleId="af1">
    <w:basedOn w:val="TableNormal2"/>
    <w:tblPr>
      <w:tblStyleRowBandSize w:val="1"/>
      <w:tblStyleColBandSize w:val="1"/>
      <w:tblCellMar>
        <w:top w:w="100" w:type="dxa"/>
        <w:left w:w="100" w:type="dxa"/>
        <w:bottom w:w="100" w:type="dxa"/>
        <w:right w:w="100" w:type="dxa"/>
      </w:tblCellMar>
    </w:tblPr>
  </w:style>
  <w:style w:type="table" w:customStyle="1" w:styleId="af2">
    <w:basedOn w:val="TableNormal2"/>
    <w:tblPr>
      <w:tblStyleRowBandSize w:val="1"/>
      <w:tblStyleColBandSize w:val="1"/>
      <w:tblCellMar>
        <w:top w:w="100" w:type="dxa"/>
        <w:left w:w="100" w:type="dxa"/>
        <w:bottom w:w="100" w:type="dxa"/>
        <w:right w:w="100" w:type="dxa"/>
      </w:tblCellMar>
    </w:tblPr>
  </w:style>
  <w:style w:type="table" w:customStyle="1" w:styleId="af3">
    <w:basedOn w:val="TableNormal2"/>
    <w:tblPr>
      <w:tblStyleRowBandSize w:val="1"/>
      <w:tblStyleColBandSize w:val="1"/>
      <w:tblCellMar>
        <w:top w:w="100" w:type="dxa"/>
        <w:left w:w="100" w:type="dxa"/>
        <w:bottom w:w="100" w:type="dxa"/>
        <w:right w:w="100" w:type="dxa"/>
      </w:tblCellMar>
    </w:tblPr>
  </w:style>
  <w:style w:type="table" w:customStyle="1" w:styleId="af4">
    <w:basedOn w:val="TableNormal2"/>
    <w:tblPr>
      <w:tblStyleRowBandSize w:val="1"/>
      <w:tblStyleColBandSize w:val="1"/>
      <w:tblCellMar>
        <w:top w:w="100" w:type="dxa"/>
        <w:left w:w="100" w:type="dxa"/>
        <w:bottom w:w="100" w:type="dxa"/>
        <w:right w:w="100" w:type="dxa"/>
      </w:tblCellMar>
    </w:tblPr>
  </w:style>
  <w:style w:type="table" w:customStyle="1" w:styleId="af5">
    <w:basedOn w:val="TableNormal2"/>
    <w:tblPr>
      <w:tblStyleRowBandSize w:val="1"/>
      <w:tblStyleColBandSize w:val="1"/>
      <w:tblCellMar>
        <w:top w:w="100" w:type="dxa"/>
        <w:left w:w="100" w:type="dxa"/>
        <w:bottom w:w="100" w:type="dxa"/>
        <w:right w:w="100" w:type="dxa"/>
      </w:tblCellMar>
    </w:tblPr>
  </w:style>
  <w:style w:type="table" w:customStyle="1" w:styleId="af6">
    <w:basedOn w:val="TableNormal2"/>
    <w:tblPr>
      <w:tblStyleRowBandSize w:val="1"/>
      <w:tblStyleColBandSize w:val="1"/>
      <w:tblCellMar>
        <w:top w:w="100" w:type="dxa"/>
        <w:left w:w="100" w:type="dxa"/>
        <w:bottom w:w="100" w:type="dxa"/>
        <w:right w:w="100" w:type="dxa"/>
      </w:tblCellMar>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tblPr>
      <w:tblStyleRowBandSize w:val="1"/>
      <w:tblStyleColBandSize w:val="1"/>
      <w:tblCellMar>
        <w:top w:w="100" w:type="dxa"/>
        <w:left w:w="100" w:type="dxa"/>
        <w:bottom w:w="100" w:type="dxa"/>
        <w:right w:w="100" w:type="dxa"/>
      </w:tblCellMar>
    </w:tblPr>
  </w:style>
  <w:style w:type="table" w:customStyle="1" w:styleId="af9">
    <w:basedOn w:val="TableNormal2"/>
    <w:tblPr>
      <w:tblStyleRowBandSize w:val="1"/>
      <w:tblStyleColBandSize w:val="1"/>
      <w:tblCellMar>
        <w:top w:w="100" w:type="dxa"/>
        <w:left w:w="100" w:type="dxa"/>
        <w:bottom w:w="100" w:type="dxa"/>
        <w:right w:w="100" w:type="dxa"/>
      </w:tblCellMar>
    </w:tblPr>
  </w:style>
  <w:style w:type="table" w:customStyle="1" w:styleId="afa">
    <w:basedOn w:val="TableNormal2"/>
    <w:tblPr>
      <w:tblStyleRowBandSize w:val="1"/>
      <w:tblStyleColBandSize w:val="1"/>
      <w:tblCellMar>
        <w:top w:w="100" w:type="dxa"/>
        <w:left w:w="100" w:type="dxa"/>
        <w:bottom w:w="100" w:type="dxa"/>
        <w:right w:w="100" w:type="dxa"/>
      </w:tblCellMar>
    </w:tblPr>
  </w:style>
  <w:style w:type="table" w:customStyle="1" w:styleId="afb">
    <w:basedOn w:val="TableNormal2"/>
    <w:tblPr>
      <w:tblStyleRowBandSize w:val="1"/>
      <w:tblStyleColBandSize w:val="1"/>
      <w:tblCellMar>
        <w:top w:w="100" w:type="dxa"/>
        <w:left w:w="100" w:type="dxa"/>
        <w:bottom w:w="100" w:type="dxa"/>
        <w:right w:w="100" w:type="dxa"/>
      </w:tblCellMar>
    </w:tblPr>
  </w:style>
  <w:style w:type="table" w:customStyle="1" w:styleId="afc">
    <w:basedOn w:val="TableNormal2"/>
    <w:tblPr>
      <w:tblStyleRowBandSize w:val="1"/>
      <w:tblStyleColBandSize w:val="1"/>
      <w:tblCellMar>
        <w:top w:w="100" w:type="dxa"/>
        <w:left w:w="100" w:type="dxa"/>
        <w:bottom w:w="100" w:type="dxa"/>
        <w:right w:w="100" w:type="dxa"/>
      </w:tblCellMar>
    </w:tblPr>
  </w:style>
  <w:style w:type="table" w:customStyle="1" w:styleId="afd">
    <w:basedOn w:val="TableNormal2"/>
    <w:tblPr>
      <w:tblStyleRowBandSize w:val="1"/>
      <w:tblStyleColBandSize w:val="1"/>
      <w:tblCellMar>
        <w:top w:w="100" w:type="dxa"/>
        <w:left w:w="100" w:type="dxa"/>
        <w:bottom w:w="100" w:type="dxa"/>
        <w:right w:w="100" w:type="dxa"/>
      </w:tblCellMar>
    </w:tblPr>
  </w:style>
  <w:style w:type="table" w:customStyle="1" w:styleId="afe">
    <w:basedOn w:val="TableNormal2"/>
    <w:tblPr>
      <w:tblStyleRowBandSize w:val="1"/>
      <w:tblStyleColBandSize w:val="1"/>
      <w:tblCellMar>
        <w:top w:w="100" w:type="dxa"/>
        <w:left w:w="100" w:type="dxa"/>
        <w:bottom w:w="100" w:type="dxa"/>
        <w:right w:w="100" w:type="dxa"/>
      </w:tblCellMar>
    </w:tblPr>
  </w:style>
  <w:style w:type="table" w:customStyle="1" w:styleId="aff">
    <w:basedOn w:val="TableNormal2"/>
    <w:tblPr>
      <w:tblStyleRowBandSize w:val="1"/>
      <w:tblStyleColBandSize w:val="1"/>
      <w:tblCellMar>
        <w:top w:w="100" w:type="dxa"/>
        <w:left w:w="100" w:type="dxa"/>
        <w:bottom w:w="100" w:type="dxa"/>
        <w:right w:w="100" w:type="dxa"/>
      </w:tblCellMar>
    </w:tblPr>
  </w:style>
  <w:style w:type="table" w:customStyle="1" w:styleId="aff0">
    <w:basedOn w:val="TableNormal2"/>
    <w:tblPr>
      <w:tblStyleRowBandSize w:val="1"/>
      <w:tblStyleColBandSize w:val="1"/>
      <w:tblCellMar>
        <w:top w:w="100" w:type="dxa"/>
        <w:left w:w="100" w:type="dxa"/>
        <w:bottom w:w="100" w:type="dxa"/>
        <w:right w:w="100" w:type="dxa"/>
      </w:tblCellMar>
    </w:tblPr>
  </w:style>
  <w:style w:type="table" w:customStyle="1" w:styleId="aff1">
    <w:basedOn w:val="TableNormal2"/>
    <w:tblPr>
      <w:tblStyleRowBandSize w:val="1"/>
      <w:tblStyleColBandSize w:val="1"/>
      <w:tblCellMar>
        <w:top w:w="100" w:type="dxa"/>
        <w:left w:w="100" w:type="dxa"/>
        <w:bottom w:w="100" w:type="dxa"/>
        <w:right w:w="100" w:type="dxa"/>
      </w:tblCellMar>
    </w:tblPr>
  </w:style>
  <w:style w:type="table" w:customStyle="1" w:styleId="aff2">
    <w:basedOn w:val="TableNormal2"/>
    <w:tblPr>
      <w:tblStyleRowBandSize w:val="1"/>
      <w:tblStyleColBandSize w:val="1"/>
      <w:tblCellMar>
        <w:top w:w="100" w:type="dxa"/>
        <w:left w:w="100" w:type="dxa"/>
        <w:bottom w:w="100" w:type="dxa"/>
        <w:right w:w="100" w:type="dxa"/>
      </w:tblCellMar>
    </w:tblPr>
  </w:style>
  <w:style w:type="table" w:customStyle="1" w:styleId="aff3">
    <w:basedOn w:val="TableNormal2"/>
    <w:tblPr>
      <w:tblStyleRowBandSize w:val="1"/>
      <w:tblStyleColBandSize w:val="1"/>
      <w:tblCellMar>
        <w:top w:w="100" w:type="dxa"/>
        <w:left w:w="100" w:type="dxa"/>
        <w:bottom w:w="100" w:type="dxa"/>
        <w:right w:w="100" w:type="dxa"/>
      </w:tblCellMar>
    </w:tblPr>
  </w:style>
  <w:style w:type="table" w:customStyle="1" w:styleId="aff4">
    <w:basedOn w:val="TableNormal2"/>
    <w:tblPr>
      <w:tblStyleRowBandSize w:val="1"/>
      <w:tblStyleColBandSize w:val="1"/>
      <w:tblCellMar>
        <w:top w:w="100" w:type="dxa"/>
        <w:left w:w="100" w:type="dxa"/>
        <w:bottom w:w="100" w:type="dxa"/>
        <w:right w:w="100" w:type="dxa"/>
      </w:tblCellMar>
    </w:tblPr>
  </w:style>
  <w:style w:type="table" w:customStyle="1" w:styleId="aff5">
    <w:basedOn w:val="TableNormal2"/>
    <w:tblPr>
      <w:tblStyleRowBandSize w:val="1"/>
      <w:tblStyleColBandSize w:val="1"/>
      <w:tblCellMar>
        <w:top w:w="100" w:type="dxa"/>
        <w:left w:w="100" w:type="dxa"/>
        <w:bottom w:w="100" w:type="dxa"/>
        <w:right w:w="100" w:type="dxa"/>
      </w:tblCellMar>
    </w:tblPr>
  </w:style>
  <w:style w:type="table" w:customStyle="1" w:styleId="aff6">
    <w:basedOn w:val="TableNormal2"/>
    <w:tblPr>
      <w:tblStyleRowBandSize w:val="1"/>
      <w:tblStyleColBandSize w:val="1"/>
      <w:tblCellMar>
        <w:top w:w="100" w:type="dxa"/>
        <w:left w:w="100" w:type="dxa"/>
        <w:bottom w:w="100" w:type="dxa"/>
        <w:right w:w="100" w:type="dxa"/>
      </w:tblCellMar>
    </w:tblPr>
  </w:style>
  <w:style w:type="table" w:customStyle="1" w:styleId="aff7">
    <w:basedOn w:val="TableNormal2"/>
    <w:tblPr>
      <w:tblStyleRowBandSize w:val="1"/>
      <w:tblStyleColBandSize w:val="1"/>
      <w:tblCellMar>
        <w:top w:w="100" w:type="dxa"/>
        <w:left w:w="100" w:type="dxa"/>
        <w:bottom w:w="100" w:type="dxa"/>
        <w:right w:w="100" w:type="dxa"/>
      </w:tblCellMar>
    </w:tblPr>
  </w:style>
  <w:style w:type="table" w:customStyle="1" w:styleId="aff8">
    <w:basedOn w:val="TableNormal2"/>
    <w:tblPr>
      <w:tblStyleRowBandSize w:val="1"/>
      <w:tblStyleColBandSize w:val="1"/>
      <w:tblCellMar>
        <w:top w:w="100" w:type="dxa"/>
        <w:left w:w="100" w:type="dxa"/>
        <w:bottom w:w="100" w:type="dxa"/>
        <w:right w:w="100" w:type="dxa"/>
      </w:tblCellMar>
    </w:tblPr>
  </w:style>
  <w:style w:type="table" w:customStyle="1" w:styleId="aff9">
    <w:basedOn w:val="TableNormal2"/>
    <w:tblPr>
      <w:tblStyleRowBandSize w:val="1"/>
      <w:tblStyleColBandSize w:val="1"/>
      <w:tblCellMar>
        <w:top w:w="100" w:type="dxa"/>
        <w:left w:w="100" w:type="dxa"/>
        <w:bottom w:w="100" w:type="dxa"/>
        <w:right w:w="100" w:type="dxa"/>
      </w:tblCellMar>
    </w:tblPr>
  </w:style>
  <w:style w:type="table" w:customStyle="1" w:styleId="affa">
    <w:basedOn w:val="TableNormal2"/>
    <w:tblPr>
      <w:tblStyleRowBandSize w:val="1"/>
      <w:tblStyleColBandSize w:val="1"/>
      <w:tblCellMar>
        <w:top w:w="100" w:type="dxa"/>
        <w:left w:w="100" w:type="dxa"/>
        <w:bottom w:w="100" w:type="dxa"/>
        <w:right w:w="100" w:type="dxa"/>
      </w:tblCellMar>
    </w:tblPr>
  </w:style>
  <w:style w:type="table" w:customStyle="1" w:styleId="affb">
    <w:basedOn w:val="TableNormal2"/>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kJHeVfXogunvCSb4G2gRwYOKug==">CgMxLjA4AGosChRzdWdnZXN0Lm52bzJ1c2RhaXZqcRIUSWFyYSBEYSBDb3N0YSBaYW5ub25qLAoUc3VnZ2VzdC5kMWowMWVyYzBhbWsSFElhcmEgRGEgQ29zdGEgWmFubm9uciExbFN4SlFROHltUVhvSG9JN3cwLVFQeE9WNXc2ZGU0M2Q=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3662</Words>
  <Characters>19780</Characters>
  <Application>Microsoft Office Word</Application>
  <DocSecurity>0</DocSecurity>
  <Lines>164</Lines>
  <Paragraphs>46</Paragraphs>
  <ScaleCrop>false</ScaleCrop>
  <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Guimaraes Goulart</dc:creator>
  <cp:lastModifiedBy>Leandro Mendes</cp:lastModifiedBy>
  <cp:revision>9</cp:revision>
  <dcterms:created xsi:type="dcterms:W3CDTF">2025-05-03T19:40:00Z</dcterms:created>
  <dcterms:modified xsi:type="dcterms:W3CDTF">2026-06-08T12:31:00Z</dcterms:modified>
</cp:coreProperties>
</file>